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4BA3F" w14:textId="431D0FD9" w:rsidR="00284782" w:rsidRDefault="007F354B">
      <w:pPr>
        <w:spacing w:after="278" w:line="259" w:lineRule="auto"/>
        <w:ind w:left="0" w:right="69" w:firstLine="0"/>
        <w:jc w:val="center"/>
        <w:rPr>
          <w:b/>
          <w:sz w:val="32"/>
          <w:szCs w:val="32"/>
        </w:rPr>
      </w:pPr>
      <w:r w:rsidRPr="00E4363F">
        <w:rPr>
          <w:b/>
          <w:sz w:val="32"/>
          <w:szCs w:val="32"/>
        </w:rPr>
        <w:t xml:space="preserve">CODE OF ETHICS </w:t>
      </w:r>
    </w:p>
    <w:p w14:paraId="4CF5D45E" w14:textId="77777777" w:rsidR="00E4363F" w:rsidRPr="00E4363F" w:rsidRDefault="00E4363F">
      <w:pPr>
        <w:spacing w:after="278" w:line="259" w:lineRule="auto"/>
        <w:ind w:left="0" w:right="69" w:firstLine="0"/>
        <w:jc w:val="center"/>
        <w:rPr>
          <w:sz w:val="32"/>
          <w:szCs w:val="32"/>
        </w:rPr>
      </w:pPr>
    </w:p>
    <w:p w14:paraId="199A0557" w14:textId="77777777" w:rsidR="00284782" w:rsidRDefault="007F354B">
      <w:pPr>
        <w:pStyle w:val="Heading1"/>
        <w:numPr>
          <w:ilvl w:val="0"/>
          <w:numId w:val="0"/>
        </w:numPr>
        <w:ind w:left="7" w:right="0"/>
      </w:pPr>
      <w:r>
        <w:t xml:space="preserve">Introduction </w:t>
      </w:r>
    </w:p>
    <w:p w14:paraId="51753D86" w14:textId="617333EC" w:rsidR="00284782" w:rsidRDefault="00EE31B0" w:rsidP="00E4363F">
      <w:pPr>
        <w:ind w:left="9" w:right="60" w:firstLine="0"/>
      </w:pPr>
      <w:r>
        <w:t>Th</w:t>
      </w:r>
      <w:r w:rsidR="00E4363F">
        <w:t>is</w:t>
      </w:r>
      <w:r>
        <w:t xml:space="preserve"> Code of Ethics </w:t>
      </w:r>
      <w:r w:rsidR="007F354B">
        <w:t>aim</w:t>
      </w:r>
      <w:r w:rsidR="005903DE">
        <w:t>s</w:t>
      </w:r>
      <w:r w:rsidR="007F354B">
        <w:t xml:space="preserve"> </w:t>
      </w:r>
      <w:r w:rsidR="005903DE">
        <w:t>to</w:t>
      </w:r>
      <w:r w:rsidR="007F354B">
        <w:t xml:space="preserve"> establish and maintain </w:t>
      </w:r>
      <w:r w:rsidR="005903DE">
        <w:t>high</w:t>
      </w:r>
      <w:r w:rsidR="007F354B">
        <w:t xml:space="preserve"> standard</w:t>
      </w:r>
      <w:r>
        <w:t>s</w:t>
      </w:r>
      <w:r w:rsidR="007F354B">
        <w:t xml:space="preserve"> of </w:t>
      </w:r>
      <w:r w:rsidR="005903DE">
        <w:t xml:space="preserve">professional </w:t>
      </w:r>
      <w:r w:rsidR="00E4363F">
        <w:t xml:space="preserve">and ethical </w:t>
      </w:r>
      <w:r w:rsidR="007F354B">
        <w:t>practice from ABMT members</w:t>
      </w:r>
      <w:r w:rsidR="00E4363F">
        <w:t>. It is also intended to</w:t>
      </w:r>
      <w:r w:rsidR="00F13DA4">
        <w:t xml:space="preserve"> support and protect</w:t>
      </w:r>
      <w:r w:rsidR="007F354B">
        <w:t xml:space="preserve"> </w:t>
      </w:r>
      <w:r w:rsidR="000643C3">
        <w:t xml:space="preserve">our members, </w:t>
      </w:r>
      <w:r w:rsidR="00F13DA4">
        <w:t xml:space="preserve">their </w:t>
      </w:r>
      <w:r w:rsidR="007F354B">
        <w:t>clients,</w:t>
      </w:r>
      <w:r w:rsidR="00F13DA4">
        <w:t xml:space="preserve"> </w:t>
      </w:r>
      <w:r w:rsidR="000643C3">
        <w:t>and</w:t>
      </w:r>
      <w:r w:rsidR="007F354B">
        <w:t xml:space="preserve"> the general public</w:t>
      </w:r>
      <w:r w:rsidR="00E4363F">
        <w:t xml:space="preserve"> by acting as a</w:t>
      </w:r>
      <w:r w:rsidR="007F354B">
        <w:t xml:space="preserve"> framework for professional conduct, </w:t>
      </w:r>
      <w:r>
        <w:t>and</w:t>
      </w:r>
      <w:r w:rsidR="007F354B">
        <w:t xml:space="preserve"> a</w:t>
      </w:r>
      <w:r w:rsidR="00E4363F">
        <w:t>s a</w:t>
      </w:r>
      <w:r w:rsidR="007F354B">
        <w:t xml:space="preserve"> </w:t>
      </w:r>
      <w:r>
        <w:t>re</w:t>
      </w:r>
      <w:r w:rsidR="00E4363F">
        <w:t>source</w:t>
      </w:r>
      <w:r>
        <w:t xml:space="preserve"> </w:t>
      </w:r>
      <w:r w:rsidR="007F354B">
        <w:t>for discussing ethical issues</w:t>
      </w:r>
      <w:r w:rsidR="005E5F14">
        <w:t xml:space="preserve"> in supervision</w:t>
      </w:r>
      <w:r w:rsidR="007F354B">
        <w:t xml:space="preserve">. </w:t>
      </w:r>
      <w:r w:rsidR="00E4363F">
        <w:t xml:space="preserve">All ABMT </w:t>
      </w:r>
      <w:r w:rsidR="00EB2608">
        <w:t xml:space="preserve">members </w:t>
      </w:r>
      <w:r w:rsidR="00E4363F">
        <w:t xml:space="preserve">should follow this Code of Ethics. </w:t>
      </w:r>
    </w:p>
    <w:p w14:paraId="3BC54957" w14:textId="0139FBA6" w:rsidR="00D81450" w:rsidRDefault="007F354B" w:rsidP="00E4363F">
      <w:pPr>
        <w:ind w:left="12" w:right="60" w:firstLine="0"/>
      </w:pPr>
      <w:r>
        <w:t>Th</w:t>
      </w:r>
      <w:r w:rsidR="002A247B">
        <w:t>e</w:t>
      </w:r>
      <w:r>
        <w:t xml:space="preserve"> </w:t>
      </w:r>
      <w:r w:rsidR="00CD02AA">
        <w:t>C</w:t>
      </w:r>
      <w:r>
        <w:t xml:space="preserve">ode </w:t>
      </w:r>
      <w:r w:rsidR="00CD02AA">
        <w:t>does not</w:t>
      </w:r>
      <w:r>
        <w:t xml:space="preserve"> replace codes of ethical and professional conduct for psychotherapists who u</w:t>
      </w:r>
      <w:r w:rsidR="00CD02AA">
        <w:t>se</w:t>
      </w:r>
      <w:r>
        <w:t xml:space="preserve"> biodynamic massage in their client</w:t>
      </w:r>
      <w:r w:rsidR="00C24E9B">
        <w:t xml:space="preserve"> work</w:t>
      </w:r>
      <w:r>
        <w:t xml:space="preserve">. It </w:t>
      </w:r>
      <w:r w:rsidR="00C24E9B">
        <w:t>is</w:t>
      </w:r>
      <w:r>
        <w:t xml:space="preserve"> developed</w:t>
      </w:r>
      <w:r w:rsidR="00EB2608">
        <w:t xml:space="preserve"> specifically</w:t>
      </w:r>
      <w:r>
        <w:t xml:space="preserve"> for ABMT members who have successfully completed </w:t>
      </w:r>
      <w:r w:rsidR="00F60919">
        <w:t>training</w:t>
      </w:r>
      <w:r>
        <w:t xml:space="preserve"> to certificate level in biodynamic massage therapy</w:t>
      </w:r>
      <w:r w:rsidR="002A247B">
        <w:t>,</w:t>
      </w:r>
      <w:r>
        <w:t xml:space="preserve"> and are offering this to clients</w:t>
      </w:r>
      <w:r w:rsidR="00F60919">
        <w:t xml:space="preserve"> as a complementary therapy</w:t>
      </w:r>
      <w:r>
        <w:t xml:space="preserve">. Practitioners are reminded that they </w:t>
      </w:r>
      <w:r w:rsidR="00BD18FD">
        <w:t xml:space="preserve">must </w:t>
      </w:r>
      <w:r>
        <w:t>also behav</w:t>
      </w:r>
      <w:r w:rsidR="00BD18FD">
        <w:t>e in ways</w:t>
      </w:r>
      <w:r>
        <w:t xml:space="preserve"> that do not breach Common and Criminal law in the UK (and European laws if applicable).</w:t>
      </w:r>
    </w:p>
    <w:p w14:paraId="2877B392" w14:textId="48EA9DB4" w:rsidR="00FC20B6" w:rsidRDefault="00FC20B6" w:rsidP="00FC20B6">
      <w:pPr>
        <w:spacing w:after="0" w:line="240" w:lineRule="auto"/>
        <w:ind w:left="0" w:firstLine="0"/>
        <w:jc w:val="left"/>
        <w:rPr>
          <w:rFonts w:ascii="Times New Roman" w:eastAsia="Times New Roman" w:hAnsi="Times New Roman" w:cs="Times New Roman"/>
          <w:color w:val="auto"/>
        </w:rPr>
      </w:pPr>
      <w:r>
        <w:t xml:space="preserve">ABMT members who are also members of CNHC are required to abide by their code of ethics, which can be found at: </w:t>
      </w:r>
      <w:hyperlink r:id="rId7" w:history="1">
        <w:r w:rsidRPr="00FC20B6">
          <w:rPr>
            <w:rFonts w:eastAsia="Times New Roman"/>
            <w:color w:val="0000FF"/>
            <w:u w:val="single"/>
          </w:rPr>
          <w:t>https://www.cnhc.org.uk/sites/default/files/Downloads/CodeofConductEthicsandPerformance_Nov2019.pdf</w:t>
        </w:r>
      </w:hyperlink>
    </w:p>
    <w:p w14:paraId="00EBA724" w14:textId="77777777" w:rsidR="00FC20B6" w:rsidRPr="00FC20B6" w:rsidRDefault="00FC20B6" w:rsidP="00FC20B6">
      <w:pPr>
        <w:spacing w:after="0" w:line="240" w:lineRule="auto"/>
        <w:ind w:left="0" w:firstLine="0"/>
        <w:jc w:val="left"/>
        <w:rPr>
          <w:rFonts w:ascii="Times New Roman" w:eastAsia="Times New Roman" w:hAnsi="Times New Roman" w:cs="Times New Roman"/>
          <w:color w:val="auto"/>
        </w:rPr>
      </w:pPr>
    </w:p>
    <w:p w14:paraId="58757E67" w14:textId="596440DD" w:rsidR="00D81450" w:rsidRDefault="00BC1C84" w:rsidP="00FC20B6">
      <w:pPr>
        <w:ind w:left="12" w:right="60" w:firstLine="0"/>
      </w:pPr>
      <w:r>
        <w:t xml:space="preserve">All </w:t>
      </w:r>
      <w:r w:rsidR="00CB53BE">
        <w:t xml:space="preserve">ABMT </w:t>
      </w:r>
      <w:r>
        <w:t>members are required to be in ongoing clinical supervision. Please refer to our supervision policy for further information.</w:t>
      </w:r>
    </w:p>
    <w:p w14:paraId="3869A037" w14:textId="77777777" w:rsidR="00CC4BA4" w:rsidRDefault="00CC4BA4" w:rsidP="00CC4BA4">
      <w:pPr>
        <w:ind w:left="12" w:right="60" w:firstLine="0"/>
      </w:pPr>
    </w:p>
    <w:p w14:paraId="6E62BA45" w14:textId="5F39AEE9" w:rsidR="002853AC" w:rsidRPr="002853AC" w:rsidRDefault="007F354B" w:rsidP="00CC4BA4">
      <w:pPr>
        <w:pStyle w:val="Heading1"/>
        <w:spacing w:after="76" w:line="480" w:lineRule="auto"/>
        <w:ind w:left="717" w:right="0" w:hanging="720"/>
      </w:pPr>
      <w:r>
        <w:t>Duties to Clients</w:t>
      </w:r>
    </w:p>
    <w:p w14:paraId="39277508" w14:textId="39C17B77" w:rsidR="00C84C4A" w:rsidRDefault="007F354B" w:rsidP="00C84C4A">
      <w:pPr>
        <w:pStyle w:val="ListParagraph"/>
        <w:numPr>
          <w:ilvl w:val="1"/>
          <w:numId w:val="4"/>
        </w:numPr>
        <w:spacing w:after="392"/>
        <w:ind w:right="60"/>
      </w:pPr>
      <w:r>
        <w:t xml:space="preserve">The practitioner has a primary duty to practice </w:t>
      </w:r>
      <w:r w:rsidR="00FC2ED7">
        <w:t>their</w:t>
      </w:r>
      <w:r>
        <w:t xml:space="preserve"> skills to the best of </w:t>
      </w:r>
      <w:r w:rsidR="00FC2ED7">
        <w:t xml:space="preserve">their </w:t>
      </w:r>
      <w:r>
        <w:t>ability for the benefit of the client.</w:t>
      </w:r>
      <w:r w:rsidR="00C77D26">
        <w:t xml:space="preserve"> </w:t>
      </w:r>
      <w:r w:rsidR="00EE185A">
        <w:t>T</w:t>
      </w:r>
      <w:r>
        <w:t xml:space="preserve">he practitioner </w:t>
      </w:r>
      <w:r w:rsidR="00EE185A">
        <w:t>should</w:t>
      </w:r>
      <w:r>
        <w:t xml:space="preserve"> be honest in written </w:t>
      </w:r>
      <w:r w:rsidR="00EE185A">
        <w:t xml:space="preserve">and </w:t>
      </w:r>
      <w:r>
        <w:t xml:space="preserve">verbal communication with clients and the general public about </w:t>
      </w:r>
      <w:r w:rsidR="00FC2ED7">
        <w:t>their</w:t>
      </w:r>
      <w:r>
        <w:t xml:space="preserve"> competence to practice, </w:t>
      </w:r>
      <w:r w:rsidR="00793416">
        <w:t xml:space="preserve">the </w:t>
      </w:r>
      <w:r>
        <w:t xml:space="preserve">boundaries of </w:t>
      </w:r>
      <w:r w:rsidR="00C84C4A">
        <w:t>biodynamic massage</w:t>
      </w:r>
      <w:r w:rsidR="00FC2ED7">
        <w:t xml:space="preserve">, </w:t>
      </w:r>
      <w:r>
        <w:t xml:space="preserve">and </w:t>
      </w:r>
      <w:r w:rsidR="00793416">
        <w:t xml:space="preserve">their </w:t>
      </w:r>
      <w:r>
        <w:t xml:space="preserve">level of training. </w:t>
      </w:r>
    </w:p>
    <w:p w14:paraId="67ADC526" w14:textId="77777777" w:rsidR="00C84C4A" w:rsidRDefault="00C84C4A" w:rsidP="00C84C4A">
      <w:pPr>
        <w:pStyle w:val="ListParagraph"/>
        <w:spacing w:after="392"/>
        <w:ind w:left="729" w:right="60" w:firstLine="0"/>
      </w:pPr>
    </w:p>
    <w:p w14:paraId="1E7463DD" w14:textId="221DB999" w:rsidR="00284782" w:rsidRDefault="007F354B" w:rsidP="00C84C4A">
      <w:pPr>
        <w:pStyle w:val="ListParagraph"/>
        <w:numPr>
          <w:ilvl w:val="1"/>
          <w:numId w:val="4"/>
        </w:numPr>
        <w:spacing w:after="392"/>
        <w:ind w:right="60"/>
      </w:pPr>
      <w:r>
        <w:t xml:space="preserve">If advice or treatment is offered that falls outside the </w:t>
      </w:r>
      <w:r w:rsidR="00E01478">
        <w:t xml:space="preserve">scope </w:t>
      </w:r>
      <w:r>
        <w:t xml:space="preserve">of </w:t>
      </w:r>
      <w:r w:rsidR="00FC2ED7">
        <w:t>biodynamic massage</w:t>
      </w:r>
      <w:r w:rsidR="00E01478">
        <w:t xml:space="preserve">, </w:t>
      </w:r>
      <w:r>
        <w:t xml:space="preserve">this should be made clear. The practitioner should make explicit </w:t>
      </w:r>
      <w:r w:rsidR="00FC2ED7">
        <w:t>the</w:t>
      </w:r>
      <w:r>
        <w:t xml:space="preserve"> capacity</w:t>
      </w:r>
      <w:r w:rsidR="00FC2ED7">
        <w:t xml:space="preserve"> in which</w:t>
      </w:r>
      <w:r>
        <w:t xml:space="preserve"> this is being offered</w:t>
      </w:r>
      <w:r w:rsidR="00FC2ED7">
        <w:t xml:space="preserve">, for example </w:t>
      </w:r>
      <w:r>
        <w:t xml:space="preserve">as an aromatherapist or reflexologist. Where the </w:t>
      </w:r>
      <w:r w:rsidR="00D15519">
        <w:t xml:space="preserve">practitioner </w:t>
      </w:r>
      <w:r>
        <w:lastRenderedPageBreak/>
        <w:t xml:space="preserve">feels that the client's need would be better served </w:t>
      </w:r>
      <w:r w:rsidR="00D15519">
        <w:t>by a different type of practitioner</w:t>
      </w:r>
      <w:r>
        <w:t xml:space="preserve">, </w:t>
      </w:r>
      <w:r w:rsidR="00FC2ED7">
        <w:t>they</w:t>
      </w:r>
      <w:r>
        <w:t xml:space="preserve"> should </w:t>
      </w:r>
      <w:r w:rsidR="00D15519">
        <w:t xml:space="preserve">consider </w:t>
      </w:r>
      <w:r>
        <w:t>mak</w:t>
      </w:r>
      <w:r w:rsidR="00D15519">
        <w:t>ing</w:t>
      </w:r>
      <w:r>
        <w:t xml:space="preserve"> a referral.</w:t>
      </w:r>
      <w:r w:rsidR="00D15519">
        <w:t xml:space="preserve"> Should a practitioner feel they do not have the clinical skills or experience to work with a particular client, this should be discussed in supervision, and then with sensitivity with the client in question. A referral to a practitioner with a more fitting skill set should </w:t>
      </w:r>
      <w:r w:rsidR="00E36802">
        <w:t xml:space="preserve">then </w:t>
      </w:r>
      <w:r w:rsidR="00D15519">
        <w:t>be made.</w:t>
      </w:r>
    </w:p>
    <w:p w14:paraId="7227CD07" w14:textId="28821A63" w:rsidR="00284782" w:rsidRDefault="007F354B">
      <w:pPr>
        <w:spacing w:after="397"/>
        <w:ind w:left="739" w:right="60"/>
      </w:pPr>
      <w:r>
        <w:t>1.</w:t>
      </w:r>
      <w:r w:rsidR="00C84C4A">
        <w:t>3</w:t>
      </w:r>
      <w:r>
        <w:t xml:space="preserve"> </w:t>
      </w:r>
      <w:r w:rsidR="00C77D26">
        <w:tab/>
      </w:r>
      <w:r>
        <w:t xml:space="preserve">Practitioners </w:t>
      </w:r>
      <w:r w:rsidR="00F35452">
        <w:t xml:space="preserve">should </w:t>
      </w:r>
      <w:r w:rsidR="00BB2160">
        <w:t>accommodate</w:t>
      </w:r>
      <w:r>
        <w:t xml:space="preserve"> the values, customs and spiritual beliefs of clients</w:t>
      </w:r>
      <w:r w:rsidR="00F35452">
        <w:t>, and</w:t>
      </w:r>
      <w:r>
        <w:t xml:space="preserve"> </w:t>
      </w:r>
      <w:r w:rsidR="00F35452">
        <w:t>should</w:t>
      </w:r>
      <w:r>
        <w:t xml:space="preserve"> not discriminate on the basis of gender, sexual preference, race</w:t>
      </w:r>
      <w:r w:rsidR="00E36802">
        <w:t xml:space="preserve">, </w:t>
      </w:r>
      <w:r w:rsidR="00504C51">
        <w:t>ethnicity,</w:t>
      </w:r>
      <w:r>
        <w:t xml:space="preserve"> age, HIV status, political or religious belief, class</w:t>
      </w:r>
      <w:r w:rsidR="00683AD4">
        <w:t xml:space="preserve">, </w:t>
      </w:r>
      <w:r>
        <w:t>soci</w:t>
      </w:r>
      <w:r w:rsidR="009C194B">
        <w:t>al</w:t>
      </w:r>
      <w:r>
        <w:t xml:space="preserve"> status</w:t>
      </w:r>
      <w:r w:rsidR="009C194B">
        <w:t xml:space="preserve">, </w:t>
      </w:r>
      <w:r w:rsidR="00683AD4">
        <w:t>or</w:t>
      </w:r>
      <w:r w:rsidR="009C194B">
        <w:t xml:space="preserve"> disability</w:t>
      </w:r>
      <w:r>
        <w:t>.</w:t>
      </w:r>
      <w:r w:rsidR="004A7BC3">
        <w:t xml:space="preserve"> If </w:t>
      </w:r>
      <w:r w:rsidR="00F35452">
        <w:t>a practitioner</w:t>
      </w:r>
      <w:r w:rsidR="004A7BC3">
        <w:t xml:space="preserve"> feel</w:t>
      </w:r>
      <w:r w:rsidR="00F35452">
        <w:t>s</w:t>
      </w:r>
      <w:r w:rsidR="004A7BC3">
        <w:t xml:space="preserve"> unable to work with a </w:t>
      </w:r>
      <w:r w:rsidR="00683AD4">
        <w:t>client</w:t>
      </w:r>
      <w:r w:rsidR="004A7BC3">
        <w:t xml:space="preserve"> from </w:t>
      </w:r>
      <w:r w:rsidR="00E36802">
        <w:t>a particular demographic or minority</w:t>
      </w:r>
      <w:r w:rsidR="004A7BC3">
        <w:t xml:space="preserve"> group, </w:t>
      </w:r>
      <w:r w:rsidR="00F35452">
        <w:t>they</w:t>
      </w:r>
      <w:r w:rsidR="004A7BC3">
        <w:t xml:space="preserve"> should explore </w:t>
      </w:r>
      <w:r w:rsidR="009C194B">
        <w:t xml:space="preserve">the reasons for </w:t>
      </w:r>
      <w:r w:rsidR="004A7BC3">
        <w:t xml:space="preserve">this </w:t>
      </w:r>
      <w:r w:rsidR="00F35452">
        <w:t>in supervision</w:t>
      </w:r>
      <w:r w:rsidR="009C194B">
        <w:t>.</w:t>
      </w:r>
      <w:r w:rsidR="00773413">
        <w:t xml:space="preserve"> If after discussing in supervision, the practitioner </w:t>
      </w:r>
      <w:r w:rsidR="00E36802">
        <w:t xml:space="preserve">still </w:t>
      </w:r>
      <w:r w:rsidR="00773413">
        <w:t xml:space="preserve">feels that they cannot work with the </w:t>
      </w:r>
      <w:r w:rsidR="00683AD4">
        <w:t>client</w:t>
      </w:r>
      <w:r w:rsidR="00773413">
        <w:t xml:space="preserve">, this should be discussed </w:t>
      </w:r>
      <w:r w:rsidR="00683AD4">
        <w:t xml:space="preserve">with </w:t>
      </w:r>
      <w:r w:rsidR="00E36802">
        <w:t xml:space="preserve">the client with </w:t>
      </w:r>
      <w:r w:rsidR="00683AD4">
        <w:t xml:space="preserve">sensitivity </w:t>
      </w:r>
      <w:r w:rsidR="00773413">
        <w:t xml:space="preserve">and a referral made to another </w:t>
      </w:r>
      <w:r w:rsidR="008A671D">
        <w:t xml:space="preserve">practitioner </w:t>
      </w:r>
      <w:r w:rsidR="00773413">
        <w:t>who would be a better fit.</w:t>
      </w:r>
    </w:p>
    <w:p w14:paraId="7BF18B23" w14:textId="2E8A6F99" w:rsidR="00284782" w:rsidRDefault="007F354B" w:rsidP="00683F1D">
      <w:pPr>
        <w:ind w:right="60"/>
      </w:pPr>
      <w:r>
        <w:t>1.</w:t>
      </w:r>
      <w:r w:rsidR="00C84C4A">
        <w:t>4</w:t>
      </w:r>
      <w:r>
        <w:t xml:space="preserve"> </w:t>
      </w:r>
      <w:r w:rsidR="00683F1D">
        <w:tab/>
      </w:r>
      <w:r>
        <w:t xml:space="preserve">A contract between </w:t>
      </w:r>
      <w:r w:rsidR="00BB2160">
        <w:t xml:space="preserve">the </w:t>
      </w:r>
      <w:r>
        <w:t>practitioner and client for</w:t>
      </w:r>
      <w:r w:rsidR="00BB2160">
        <w:t xml:space="preserve"> biodynamic massage should</w:t>
      </w:r>
      <w:r>
        <w:t xml:space="preserve"> in</w:t>
      </w:r>
      <w:r w:rsidR="00BB2160">
        <w:t>clude</w:t>
      </w:r>
      <w:r>
        <w:t xml:space="preserve"> clear</w:t>
      </w:r>
      <w:r w:rsidR="00BB2160">
        <w:t>,</w:t>
      </w:r>
      <w:r>
        <w:t xml:space="preserve"> </w:t>
      </w:r>
      <w:r w:rsidR="00BB2160">
        <w:t>un</w:t>
      </w:r>
      <w:r>
        <w:t xml:space="preserve">ambiguous information about fees, appointment details, cancellation policy, data protection and GDPR compliance policy, method of payment, aspirations and intentions, </w:t>
      </w:r>
      <w:r w:rsidR="00761A39">
        <w:t xml:space="preserve">informed consent, </w:t>
      </w:r>
      <w:r>
        <w:t>methods and level of treatment, likely duration</w:t>
      </w:r>
      <w:r w:rsidR="00BB2160">
        <w:t>,</w:t>
      </w:r>
      <w:r>
        <w:t xml:space="preserve"> and process for finishing the contract.</w:t>
      </w:r>
      <w:r w:rsidR="00836696">
        <w:t xml:space="preserve"> Any change in the agreed contract, such as a shift from massage to a psychotherapy contract, </w:t>
      </w:r>
      <w:r w:rsidR="00C7507D">
        <w:t>should</w:t>
      </w:r>
      <w:r w:rsidR="00836696">
        <w:t xml:space="preserve"> be renegotiated and be consistent with the client's goals and expectations at the time of the review.</w:t>
      </w:r>
    </w:p>
    <w:p w14:paraId="4D2F037C" w14:textId="2C31D708" w:rsidR="005E531C" w:rsidRDefault="00683F1D" w:rsidP="00683F1D">
      <w:pPr>
        <w:ind w:right="60"/>
      </w:pPr>
      <w:r>
        <w:t>1.</w:t>
      </w:r>
      <w:r w:rsidR="00C84C4A">
        <w:t>5</w:t>
      </w:r>
      <w:r>
        <w:t xml:space="preserve"> </w:t>
      </w:r>
      <w:r>
        <w:tab/>
      </w:r>
      <w:r w:rsidR="007F354B">
        <w:t xml:space="preserve">Ongoing consent is integral </w:t>
      </w:r>
      <w:r w:rsidR="00970F9B">
        <w:t>to</w:t>
      </w:r>
      <w:r w:rsidR="007F354B">
        <w:t xml:space="preserve"> the practice of </w:t>
      </w:r>
      <w:r w:rsidR="00BB2160">
        <w:t xml:space="preserve">biodynamic massage therapy. </w:t>
      </w:r>
      <w:r w:rsidR="0032317F">
        <w:t xml:space="preserve">The practitioner </w:t>
      </w:r>
      <w:r w:rsidR="005E531C">
        <w:t xml:space="preserve">should </w:t>
      </w:r>
      <w:r w:rsidR="0032317F">
        <w:t xml:space="preserve">give the client information about the nature of the proposed treatment, such as body parts covered, stroke used etc, including </w:t>
      </w:r>
      <w:r w:rsidR="005E531C">
        <w:t xml:space="preserve">some </w:t>
      </w:r>
      <w:r w:rsidR="0032317F">
        <w:t xml:space="preserve">reasoning or rationale for </w:t>
      </w:r>
      <w:r w:rsidR="005E531C">
        <w:t xml:space="preserve">what has been </w:t>
      </w:r>
      <w:r w:rsidR="00C7507D">
        <w:t>offered.</w:t>
      </w:r>
      <w:r w:rsidR="0032317F">
        <w:t xml:space="preserve"> The client </w:t>
      </w:r>
      <w:r w:rsidR="00C7507D">
        <w:t>has</w:t>
      </w:r>
      <w:r w:rsidR="0032317F">
        <w:t xml:space="preserve"> the freedom to accept or reject what is proposed, either before or after the treatment has begun</w:t>
      </w:r>
      <w:r w:rsidR="00CB7B03">
        <w:t xml:space="preserve">, and the practitioner should </w:t>
      </w:r>
      <w:r w:rsidR="001F0619">
        <w:t xml:space="preserve">make </w:t>
      </w:r>
      <w:r w:rsidR="00CB7B03">
        <w:t>the client</w:t>
      </w:r>
      <w:r w:rsidR="001F0619">
        <w:t xml:space="preserve"> aware of this</w:t>
      </w:r>
      <w:r w:rsidR="0032317F">
        <w:t>.</w:t>
      </w:r>
      <w:r w:rsidR="005E531C">
        <w:t xml:space="preserve"> </w:t>
      </w:r>
      <w:r w:rsidR="0032317F">
        <w:t xml:space="preserve">The practitioner should seek informed </w:t>
      </w:r>
      <w:r w:rsidR="005E531C">
        <w:t xml:space="preserve">verbal </w:t>
      </w:r>
      <w:r w:rsidR="0032317F">
        <w:t xml:space="preserve">consent to work on certain parts of the body, such as high on the thigh, the buttocks, the chest around the breast tissue, front of hip near </w:t>
      </w:r>
      <w:r w:rsidR="00281EA6">
        <w:t xml:space="preserve">the </w:t>
      </w:r>
      <w:r w:rsidR="0032317F">
        <w:t xml:space="preserve">genital area, and the stomach. </w:t>
      </w:r>
    </w:p>
    <w:p w14:paraId="73F013B7" w14:textId="21631C1A" w:rsidR="00DF1CDE" w:rsidRDefault="007F354B">
      <w:pPr>
        <w:spacing w:after="35"/>
        <w:ind w:left="739" w:right="60"/>
      </w:pPr>
      <w:r>
        <w:t>1.</w:t>
      </w:r>
      <w:r w:rsidR="00C84C4A">
        <w:t>6</w:t>
      </w:r>
      <w:r>
        <w:t xml:space="preserve"> </w:t>
      </w:r>
      <w:r w:rsidR="00CB7B03">
        <w:tab/>
      </w:r>
      <w:r>
        <w:t xml:space="preserve">A practitioner has </w:t>
      </w:r>
      <w:r w:rsidR="00D77EE6">
        <w:t>a</w:t>
      </w:r>
      <w:r>
        <w:t xml:space="preserve"> duty to maintain a client's confidentiality. Information </w:t>
      </w:r>
      <w:r w:rsidR="0044564C">
        <w:t>should</w:t>
      </w:r>
      <w:r>
        <w:t xml:space="preserve"> only be given to a third party after due discussion and with the client's consent. </w:t>
      </w:r>
      <w:r w:rsidR="00D77EE6">
        <w:t xml:space="preserve">Supervision must also be confidential, and </w:t>
      </w:r>
      <w:r w:rsidR="00953AFF">
        <w:t>i</w:t>
      </w:r>
      <w:r>
        <w:t>dentifiable biographical details</w:t>
      </w:r>
      <w:r w:rsidR="00953AFF">
        <w:t xml:space="preserve"> like </w:t>
      </w:r>
      <w:r>
        <w:t xml:space="preserve">name and address </w:t>
      </w:r>
      <w:r w:rsidR="00D77EE6">
        <w:t>should be avoided</w:t>
      </w:r>
      <w:r>
        <w:t xml:space="preserve">. Clients' records </w:t>
      </w:r>
      <w:r w:rsidR="0044564C">
        <w:t>should</w:t>
      </w:r>
      <w:r>
        <w:t xml:space="preserve"> be treated with the same respect, and practitioners </w:t>
      </w:r>
      <w:r w:rsidR="0044564C">
        <w:t>should</w:t>
      </w:r>
      <w:r>
        <w:t xml:space="preserve"> adhere to GDPR guidelines for storage </w:t>
      </w:r>
      <w:r w:rsidR="00B33978">
        <w:t xml:space="preserve">and handling </w:t>
      </w:r>
      <w:r>
        <w:t xml:space="preserve">of personal data. </w:t>
      </w:r>
      <w:r w:rsidR="00F838D1">
        <w:t xml:space="preserve">Notes </w:t>
      </w:r>
      <w:r>
        <w:t xml:space="preserve">should be </w:t>
      </w:r>
      <w:r w:rsidR="0002147B">
        <w:t>kept</w:t>
      </w:r>
      <w:r w:rsidR="00FB53D5">
        <w:t xml:space="preserve"> to help practitioners keep track of how the therapy is progressing</w:t>
      </w:r>
      <w:r w:rsidR="00DF1CDE">
        <w:t>. Clients have the right to see these notes on request, and so</w:t>
      </w:r>
      <w:r w:rsidR="00FB53D5">
        <w:t xml:space="preserve"> these should be</w:t>
      </w:r>
      <w:r w:rsidR="0002147B">
        <w:t xml:space="preserve"> </w:t>
      </w:r>
      <w:r>
        <w:t xml:space="preserve">in a form that can be </w:t>
      </w:r>
      <w:r w:rsidR="00DF1CDE">
        <w:t xml:space="preserve">easily </w:t>
      </w:r>
      <w:r>
        <w:t>read by the client</w:t>
      </w:r>
      <w:r w:rsidR="00DF1CDE">
        <w:t xml:space="preserve">. These </w:t>
      </w:r>
      <w:r w:rsidR="0044564C">
        <w:t xml:space="preserve">notes </w:t>
      </w:r>
      <w:r w:rsidR="00DF1CDE">
        <w:t xml:space="preserve">can also be subpoenaed by a </w:t>
      </w:r>
      <w:r w:rsidR="0044564C">
        <w:t>judge</w:t>
      </w:r>
      <w:r w:rsidR="00DF1CDE">
        <w:t xml:space="preserve"> in the case of a legal hearing. In addition to client notes, practitioners may wish to keep a reflective journal (which the client cannot request to see and cannot be subpoenaed).</w:t>
      </w:r>
    </w:p>
    <w:p w14:paraId="36539A8A" w14:textId="77777777" w:rsidR="00DF1CDE" w:rsidRDefault="00DF1CDE" w:rsidP="00C84C4A">
      <w:pPr>
        <w:spacing w:after="35"/>
        <w:ind w:left="0" w:right="60" w:firstLine="0"/>
      </w:pPr>
    </w:p>
    <w:p w14:paraId="7E863AE9" w14:textId="6DAFDE19" w:rsidR="00284782" w:rsidRDefault="0044564C" w:rsidP="0044564C">
      <w:pPr>
        <w:spacing w:after="35"/>
        <w:ind w:right="60"/>
      </w:pPr>
      <w:r>
        <w:t>1.</w:t>
      </w:r>
      <w:r w:rsidR="00C84C4A">
        <w:t>7</w:t>
      </w:r>
      <w:r>
        <w:t xml:space="preserve"> </w:t>
      </w:r>
      <w:r>
        <w:tab/>
      </w:r>
      <w:r w:rsidR="007F354B">
        <w:t xml:space="preserve">Exceptions to the confidentiality principle are: </w:t>
      </w:r>
    </w:p>
    <w:p w14:paraId="24AAC8CE" w14:textId="77777777" w:rsidR="0044564C" w:rsidRDefault="0044564C" w:rsidP="0044564C">
      <w:pPr>
        <w:spacing w:after="35"/>
        <w:ind w:left="739" w:right="60" w:firstLine="405"/>
      </w:pPr>
    </w:p>
    <w:p w14:paraId="7E8EE8C3" w14:textId="15188B64" w:rsidR="00284782" w:rsidRDefault="007F354B">
      <w:pPr>
        <w:numPr>
          <w:ilvl w:val="0"/>
          <w:numId w:val="1"/>
        </w:numPr>
        <w:ind w:left="1144" w:right="60" w:hanging="422"/>
      </w:pPr>
      <w:r>
        <w:t>Disclosures required by due process of the law such as an order of the court</w:t>
      </w:r>
      <w:r w:rsidR="00383D38">
        <w:t>.</w:t>
      </w:r>
    </w:p>
    <w:p w14:paraId="4B84853D" w14:textId="77777777" w:rsidR="00284782" w:rsidRDefault="007F354B">
      <w:pPr>
        <w:numPr>
          <w:ilvl w:val="0"/>
          <w:numId w:val="1"/>
        </w:numPr>
        <w:ind w:left="1144" w:right="60" w:hanging="422"/>
      </w:pPr>
      <w:r>
        <w:t>Clients who become a danger to themselves or society.</w:t>
      </w:r>
    </w:p>
    <w:p w14:paraId="35F84D80" w14:textId="3832E018" w:rsidR="00284782" w:rsidRDefault="007F354B">
      <w:pPr>
        <w:numPr>
          <w:ilvl w:val="0"/>
          <w:numId w:val="1"/>
        </w:numPr>
        <w:spacing w:after="183" w:line="251" w:lineRule="auto"/>
        <w:ind w:left="1144" w:right="60" w:hanging="422"/>
      </w:pPr>
      <w:r>
        <w:t xml:space="preserve">In the case of a </w:t>
      </w:r>
      <w:r w:rsidR="0044564C">
        <w:t>practitioner’</w:t>
      </w:r>
      <w:r>
        <w:t xml:space="preserve">s sudden death or incapacitation, </w:t>
      </w:r>
      <w:r w:rsidR="00094AE7">
        <w:t>the practitioner’s</w:t>
      </w:r>
      <w:r>
        <w:t xml:space="preserve"> </w:t>
      </w:r>
      <w:r w:rsidRPr="00EE13CC">
        <w:t>clinical will</w:t>
      </w:r>
      <w:r>
        <w:t xml:space="preserve"> would become activated. In these instances, a designated perso</w:t>
      </w:r>
      <w:r w:rsidR="005617D0">
        <w:t xml:space="preserve">n, </w:t>
      </w:r>
      <w:r>
        <w:t xml:space="preserve">possibly a supervisor or fellow </w:t>
      </w:r>
      <w:r w:rsidR="0044564C">
        <w:t>practitioner</w:t>
      </w:r>
      <w:r w:rsidR="005617D0">
        <w:t xml:space="preserve">, </w:t>
      </w:r>
      <w:r>
        <w:t xml:space="preserve">should have secure access to a list of the </w:t>
      </w:r>
      <w:r w:rsidR="0044564C">
        <w:t>practitioner</w:t>
      </w:r>
      <w:r>
        <w:t>'s current clients</w:t>
      </w:r>
      <w:r w:rsidR="005617D0">
        <w:t xml:space="preserve"> and </w:t>
      </w:r>
      <w:r>
        <w:t xml:space="preserve">contact details so that clients can be informed of what has happened. As part of the clinical will, </w:t>
      </w:r>
      <w:r w:rsidR="0044564C">
        <w:t>practitioners</w:t>
      </w:r>
      <w:r>
        <w:t xml:space="preserve"> and will executors should agree the protocol for broaching the subject with</w:t>
      </w:r>
      <w:r w:rsidR="0044564C">
        <w:t xml:space="preserve"> </w:t>
      </w:r>
      <w:r>
        <w:t>client</w:t>
      </w:r>
      <w:r w:rsidR="0044564C">
        <w:t>s</w:t>
      </w:r>
      <w:r>
        <w:t>, and what the executor is willing to offer, if anything, in terms of support (a phone call, a face-to-face meeting etc). All ABMT therapists are required to have a clinical will in place.</w:t>
      </w:r>
    </w:p>
    <w:p w14:paraId="5D7B79D4" w14:textId="46B6BC92" w:rsidR="002853AC" w:rsidRDefault="009C0FC4" w:rsidP="000F1B7A">
      <w:pPr>
        <w:ind w:right="60" w:hanging="22"/>
      </w:pPr>
      <w:r>
        <w:t>If required to break confidentiality</w:t>
      </w:r>
      <w:r w:rsidR="0044564C">
        <w:t xml:space="preserve"> in one of these circumstances</w:t>
      </w:r>
      <w:r>
        <w:t>, t</w:t>
      </w:r>
      <w:r w:rsidR="007F354B">
        <w:t xml:space="preserve">he client should ideally be </w:t>
      </w:r>
      <w:r w:rsidR="00E87840">
        <w:t>told about this</w:t>
      </w:r>
      <w:r w:rsidR="007F354B">
        <w:t xml:space="preserve"> first, and the practitioner should </w:t>
      </w:r>
      <w:r w:rsidR="00E87840">
        <w:t>disc</w:t>
      </w:r>
      <w:r w:rsidR="0044564C">
        <w:t>u</w:t>
      </w:r>
      <w:r w:rsidR="00E87840">
        <w:t>ss this with</w:t>
      </w:r>
      <w:r>
        <w:t xml:space="preserve"> their supervisor, </w:t>
      </w:r>
      <w:r w:rsidR="0044564C">
        <w:t xml:space="preserve">and </w:t>
      </w:r>
      <w:r>
        <w:t xml:space="preserve">if </w:t>
      </w:r>
      <w:proofErr w:type="gramStart"/>
      <w:r>
        <w:t>necessary</w:t>
      </w:r>
      <w:proofErr w:type="gramEnd"/>
      <w:r>
        <w:t xml:space="preserve"> </w:t>
      </w:r>
      <w:r w:rsidR="007F354B">
        <w:t>seek</w:t>
      </w:r>
      <w:r w:rsidR="0044564C">
        <w:t xml:space="preserve"> </w:t>
      </w:r>
      <w:r w:rsidR="007F354B">
        <w:t>the guidance of a solicitor</w:t>
      </w:r>
      <w:r>
        <w:t>.</w:t>
      </w:r>
    </w:p>
    <w:p w14:paraId="0D30A5D3" w14:textId="62EAD43B" w:rsidR="002853AC" w:rsidRPr="002853AC" w:rsidRDefault="00BF0A39" w:rsidP="00CC4BA4">
      <w:pPr>
        <w:pStyle w:val="Heading1"/>
        <w:spacing w:after="76" w:line="480" w:lineRule="auto"/>
        <w:ind w:left="717" w:right="0" w:hanging="720"/>
      </w:pPr>
      <w:r>
        <w:t>Sexual boundaries and Personal Relationships</w:t>
      </w:r>
    </w:p>
    <w:p w14:paraId="1BC77DD7" w14:textId="77777777" w:rsidR="00F21671" w:rsidRDefault="00BF0A39" w:rsidP="00F21671">
      <w:pPr>
        <w:spacing w:after="0" w:line="240" w:lineRule="auto"/>
      </w:pPr>
      <w:r>
        <w:t>2.1</w:t>
      </w:r>
      <w:r>
        <w:tab/>
      </w:r>
      <w:r w:rsidR="007F354B">
        <w:t xml:space="preserve">The practitioner </w:t>
      </w:r>
      <w:r w:rsidR="000D6070">
        <w:t>should</w:t>
      </w:r>
      <w:r w:rsidR="007F354B">
        <w:t xml:space="preserve"> not use </w:t>
      </w:r>
      <w:r w:rsidR="00924603">
        <w:t xml:space="preserve">their position or the therapeutic relationship </w:t>
      </w:r>
      <w:r w:rsidR="007F354B">
        <w:t xml:space="preserve">for personal </w:t>
      </w:r>
      <w:r w:rsidR="0001112F">
        <w:t xml:space="preserve">gain, </w:t>
      </w:r>
      <w:r w:rsidR="007F354B">
        <w:t>or to exploit the client financially, emotionally or practically.</w:t>
      </w:r>
      <w:r w:rsidR="00924603">
        <w:t xml:space="preserve"> The practitioner is responsible for maintaining appropriate therapeutic boundaries.</w:t>
      </w:r>
      <w:r w:rsidR="007F354B">
        <w:t xml:space="preserve"> </w:t>
      </w:r>
      <w:r w:rsidR="00924603">
        <w:t>P</w:t>
      </w:r>
      <w:r w:rsidR="007F354B">
        <w:t>ractitioner</w:t>
      </w:r>
      <w:r w:rsidR="00924603">
        <w:t>s</w:t>
      </w:r>
      <w:r w:rsidR="007F354B">
        <w:t xml:space="preserve"> </w:t>
      </w:r>
      <w:r w:rsidR="009C4CB0">
        <w:t>must</w:t>
      </w:r>
      <w:r w:rsidR="007F354B">
        <w:t xml:space="preserve"> not </w:t>
      </w:r>
      <w:r w:rsidR="00924603">
        <w:t xml:space="preserve">have sexual contact with clients, or enter </w:t>
      </w:r>
      <w:r w:rsidR="007F354B">
        <w:t>into sexual relationships with client</w:t>
      </w:r>
      <w:r w:rsidR="002336A3">
        <w:t>s</w:t>
      </w:r>
      <w:r w:rsidR="007F354B">
        <w:t>.</w:t>
      </w:r>
      <w:r w:rsidR="00A75E31">
        <w:t xml:space="preserve"> If a high sexual charge occurs within a session, this should not be acted upon </w:t>
      </w:r>
      <w:r w:rsidR="007A35BA">
        <w:t xml:space="preserve">and should be </w:t>
      </w:r>
      <w:r w:rsidR="00A75E31">
        <w:t>discussed in supervision. If the sexual charge cannot be contained or worked with in a therapeutic way, termination of the contract should be considered</w:t>
      </w:r>
      <w:r w:rsidR="0061187A">
        <w:t xml:space="preserve"> and an onward referral made</w:t>
      </w:r>
      <w:r w:rsidR="00A75E31">
        <w:t xml:space="preserve">. </w:t>
      </w:r>
      <w:r w:rsidR="007A35BA">
        <w:t xml:space="preserve">After the ending of </w:t>
      </w:r>
      <w:r w:rsidR="00A75E31">
        <w:t xml:space="preserve">the therapeutic relationship, sexual relationships with former clients are strongly discouraged. Further guidance on this can be found </w:t>
      </w:r>
      <w:r w:rsidR="00617A02">
        <w:t>in</w:t>
      </w:r>
      <w:r w:rsidR="00A75E31">
        <w:t xml:space="preserve"> the Professional Standards A</w:t>
      </w:r>
      <w:r w:rsidR="00617A02">
        <w:t>uthority document</w:t>
      </w:r>
      <w:r w:rsidR="00A75E31">
        <w:t xml:space="preserve"> at:</w:t>
      </w:r>
    </w:p>
    <w:p w14:paraId="1D050539" w14:textId="06E6583A" w:rsidR="00BF0A39" w:rsidRDefault="00F21671" w:rsidP="00F21671">
      <w:pPr>
        <w:spacing w:after="0" w:line="240" w:lineRule="auto"/>
        <w:ind w:hanging="22"/>
        <w:rPr>
          <w:rFonts w:ascii="Times New Roman" w:eastAsia="Times New Roman" w:hAnsi="Times New Roman" w:cs="Times New Roman"/>
          <w:color w:val="auto"/>
        </w:rPr>
      </w:pPr>
      <w:hyperlink r:id="rId8" w:history="1">
        <w:r w:rsidRPr="00914564">
          <w:rPr>
            <w:rStyle w:val="Hyperlink"/>
            <w:rFonts w:eastAsia="Times New Roman"/>
          </w:rPr>
          <w:t>https://www.professionalstandards.org.uk/docs/default-source/publications/policy-advice/clear-sexual-boundaries-information-for-patients-and-carers.pdf</w:t>
        </w:r>
      </w:hyperlink>
    </w:p>
    <w:p w14:paraId="7EB4D7E9" w14:textId="77777777" w:rsidR="00BF0A39" w:rsidRPr="00BF0A39" w:rsidRDefault="00BF0A39" w:rsidP="00F21671">
      <w:pPr>
        <w:spacing w:after="0" w:line="240" w:lineRule="auto"/>
        <w:rPr>
          <w:rFonts w:ascii="Times New Roman" w:eastAsia="Times New Roman" w:hAnsi="Times New Roman" w:cs="Times New Roman"/>
          <w:color w:val="auto"/>
        </w:rPr>
      </w:pPr>
    </w:p>
    <w:p w14:paraId="48D6CCBF" w14:textId="0FE15098" w:rsidR="00BF0A39" w:rsidRDefault="00BF0A39" w:rsidP="00BF0A39">
      <w:pPr>
        <w:ind w:right="60"/>
      </w:pPr>
      <w:r>
        <w:t>2.2</w:t>
      </w:r>
      <w:r>
        <w:tab/>
        <w:t xml:space="preserve">Practitioners have the right to refuse treatment to clients who make sexual comments or demands of them, or ask the practitioner to touch them in places that the practitioner does not feel comfortable with. Practitioners </w:t>
      </w:r>
      <w:r w:rsidR="00960450">
        <w:t>should</w:t>
      </w:r>
      <w:r w:rsidR="00B64425">
        <w:t xml:space="preserve"> end</w:t>
      </w:r>
      <w:r>
        <w:t xml:space="preserve"> a session</w:t>
      </w:r>
      <w:r w:rsidR="0063729A">
        <w:t xml:space="preserve"> </w:t>
      </w:r>
      <w:r>
        <w:t xml:space="preserve">if they feel unsafe with the client. </w:t>
      </w:r>
    </w:p>
    <w:p w14:paraId="55A3DDFE" w14:textId="783A37D7" w:rsidR="00BF0A39" w:rsidRDefault="00BF0A39" w:rsidP="00BF0A39">
      <w:pPr>
        <w:ind w:right="60"/>
      </w:pPr>
      <w:r>
        <w:t xml:space="preserve">2.3 </w:t>
      </w:r>
      <w:r>
        <w:tab/>
      </w:r>
      <w:r w:rsidR="00A75E31">
        <w:t>Beyond ad-hoc sessions, practitioners are discouraged from working with biodynamic massage on people they have existing sexual relationships with, such as partners or spouses.</w:t>
      </w:r>
      <w:r w:rsidR="007F354B">
        <w:t xml:space="preserve"> </w:t>
      </w:r>
    </w:p>
    <w:p w14:paraId="06750355" w14:textId="545C058E" w:rsidR="00AC60E2" w:rsidRDefault="00BF0A39" w:rsidP="00BF0A39">
      <w:pPr>
        <w:ind w:right="60"/>
      </w:pPr>
      <w:r>
        <w:t>2.4</w:t>
      </w:r>
      <w:r>
        <w:tab/>
      </w:r>
      <w:r w:rsidR="00A75E31">
        <w:t>If a practitioner starts seeing someone they know socially as a biodynamic massage client, social contact with that person should be minimised and</w:t>
      </w:r>
      <w:r w:rsidR="00813791">
        <w:t>,</w:t>
      </w:r>
      <w:r w:rsidR="00A75E31">
        <w:t xml:space="preserve"> </w:t>
      </w:r>
      <w:r w:rsidR="00D2717F">
        <w:t>where</w:t>
      </w:r>
      <w:r w:rsidR="00A75E31">
        <w:t xml:space="preserve"> possible</w:t>
      </w:r>
      <w:r w:rsidR="00813791">
        <w:t>,</w:t>
      </w:r>
      <w:r w:rsidR="00A75E31">
        <w:t xml:space="preserve"> avoided completely. </w:t>
      </w:r>
      <w:r w:rsidR="00813791">
        <w:t xml:space="preserve">The suitability of the client should be discussed in supervision, and the necessary changes to the social relationship </w:t>
      </w:r>
      <w:r w:rsidR="00A75E31">
        <w:t>discussed with the potential client before starting.</w:t>
      </w:r>
    </w:p>
    <w:p w14:paraId="4413A6EB" w14:textId="523D2001" w:rsidR="00A75E31" w:rsidRDefault="00BF0A39" w:rsidP="00BF0A39">
      <w:pPr>
        <w:ind w:right="60"/>
      </w:pPr>
      <w:r>
        <w:t>2.5</w:t>
      </w:r>
      <w:r>
        <w:tab/>
      </w:r>
      <w:r w:rsidR="00051D4F">
        <w:t xml:space="preserve">Personal relationships with former clients are discouraged. </w:t>
      </w:r>
      <w:r w:rsidR="00751AA3">
        <w:t>However, i</w:t>
      </w:r>
      <w:r w:rsidR="00AE3C6B">
        <w:t xml:space="preserve">f the practitioner and former client decide they would like to maintain a friendship after their clinical work has finished, this should be discussed with the practitioner’s supervisor, including a </w:t>
      </w:r>
      <w:r w:rsidR="006F3AB2">
        <w:t xml:space="preserve">suitable </w:t>
      </w:r>
      <w:r w:rsidR="00AE3C6B">
        <w:t xml:space="preserve">length of time </w:t>
      </w:r>
      <w:r w:rsidR="006F3AB2">
        <w:t>for a</w:t>
      </w:r>
      <w:r w:rsidR="00AE3C6B">
        <w:t xml:space="preserve"> ‘cooling-off’ period after the work has finished.</w:t>
      </w:r>
    </w:p>
    <w:p w14:paraId="7344FA51" w14:textId="632991B3" w:rsidR="00284782" w:rsidRDefault="007F354B">
      <w:pPr>
        <w:pStyle w:val="Heading1"/>
        <w:ind w:left="717" w:right="0" w:hanging="720"/>
      </w:pPr>
      <w:r>
        <w:t>Presentation of Self, Premises and Equipmen</w:t>
      </w:r>
      <w:r w:rsidR="00CC4BA4">
        <w:t>t</w:t>
      </w:r>
    </w:p>
    <w:p w14:paraId="3843DDE0" w14:textId="52B4C17D" w:rsidR="00284782" w:rsidRDefault="00BF0A39" w:rsidP="00CC4BA4">
      <w:pPr>
        <w:ind w:right="60"/>
      </w:pPr>
      <w:r>
        <w:t>3</w:t>
      </w:r>
      <w:r w:rsidR="007F354B">
        <w:t xml:space="preserve">.1 </w:t>
      </w:r>
      <w:r w:rsidR="00231B11">
        <w:tab/>
      </w:r>
      <w:r w:rsidR="007F354B">
        <w:t>A practitioner</w:t>
      </w:r>
      <w:r w:rsidR="005F6DC4">
        <w:t xml:space="preserve"> should</w:t>
      </w:r>
      <w:r w:rsidR="007F354B">
        <w:t xml:space="preserve"> ensure that </w:t>
      </w:r>
      <w:r w:rsidR="006B2949">
        <w:t>their</w:t>
      </w:r>
      <w:r w:rsidR="007F354B">
        <w:t xml:space="preserve"> health and personal hygiene do not compromise </w:t>
      </w:r>
      <w:r w:rsidR="006B2949">
        <w:t>their</w:t>
      </w:r>
      <w:r w:rsidR="007F354B">
        <w:t xml:space="preserve"> practice. A waterproof dressing </w:t>
      </w:r>
      <w:r w:rsidR="005F6DC4">
        <w:t>should</w:t>
      </w:r>
      <w:r w:rsidR="007F354B">
        <w:t xml:space="preserve"> cover cuts and abrasions. Personal attire should be clean, well</w:t>
      </w:r>
      <w:r w:rsidR="00DA5C96">
        <w:t>-</w:t>
      </w:r>
      <w:r w:rsidR="007F354B">
        <w:t>maintained and suitable for professional practice. Whil</w:t>
      </w:r>
      <w:r w:rsidR="00DA5C96">
        <w:t>e</w:t>
      </w:r>
      <w:r w:rsidR="007F354B">
        <w:t xml:space="preserve"> in session with a client the practitioner </w:t>
      </w:r>
      <w:r w:rsidR="005F6DC4">
        <w:t xml:space="preserve">should </w:t>
      </w:r>
      <w:r w:rsidR="007F354B">
        <w:t>not eat, drink</w:t>
      </w:r>
      <w:r w:rsidR="00D673B1">
        <w:t>,</w:t>
      </w:r>
      <w:r w:rsidR="007F354B">
        <w:t xml:space="preserve"> or smoke. Practicing under the influence of alcohol, drugs or any other substance likely to affect judgement is</w:t>
      </w:r>
      <w:r w:rsidR="005F6DC4">
        <w:t xml:space="preserve"> considered un</w:t>
      </w:r>
      <w:r w:rsidR="00DA5C96">
        <w:t>ethical</w:t>
      </w:r>
      <w:r w:rsidR="007F354B">
        <w:t xml:space="preserve">. </w:t>
      </w:r>
      <w:r w:rsidR="00DA5C96">
        <w:t>H</w:t>
      </w:r>
      <w:r w:rsidR="007F354B">
        <w:t xml:space="preserve">ands </w:t>
      </w:r>
      <w:r w:rsidR="005F6DC4">
        <w:t xml:space="preserve">should </w:t>
      </w:r>
      <w:r w:rsidR="007F354B">
        <w:t xml:space="preserve">be washed and dried </w:t>
      </w:r>
      <w:r w:rsidR="005F6DC4">
        <w:t xml:space="preserve">thoroughly </w:t>
      </w:r>
      <w:r w:rsidR="007F354B">
        <w:t xml:space="preserve">before and after any form of massage or touch therapy. Any items of </w:t>
      </w:r>
      <w:r w:rsidR="007A2E6E">
        <w:t>jewellery</w:t>
      </w:r>
      <w:r w:rsidR="007F354B">
        <w:t xml:space="preserve"> worn </w:t>
      </w:r>
      <w:r w:rsidR="005F6DC4">
        <w:t>should</w:t>
      </w:r>
      <w:r w:rsidR="007F354B">
        <w:t xml:space="preserve"> be removed if they </w:t>
      </w:r>
      <w:r w:rsidR="007A2E6E">
        <w:t xml:space="preserve">could </w:t>
      </w:r>
      <w:r w:rsidR="007F354B">
        <w:t xml:space="preserve">conceivably injure a client. </w:t>
      </w:r>
    </w:p>
    <w:p w14:paraId="1EA3BC4F" w14:textId="13197546" w:rsidR="00284782" w:rsidRDefault="00BF0A39">
      <w:pPr>
        <w:ind w:left="739" w:right="60"/>
      </w:pPr>
      <w:r>
        <w:t>3</w:t>
      </w:r>
      <w:r w:rsidR="007F354B">
        <w:t xml:space="preserve">.2 </w:t>
      </w:r>
      <w:r w:rsidR="005F6DC4">
        <w:tab/>
      </w:r>
      <w:r w:rsidR="007F354B">
        <w:t xml:space="preserve">The therapy room </w:t>
      </w:r>
      <w:r w:rsidR="00443AFF">
        <w:t>used to</w:t>
      </w:r>
      <w:r w:rsidR="0018737A">
        <w:t xml:space="preserve"> see</w:t>
      </w:r>
      <w:r w:rsidR="007F354B">
        <w:t xml:space="preserve"> clients </w:t>
      </w:r>
      <w:r w:rsidR="00443AFF">
        <w:t>should</w:t>
      </w:r>
      <w:r w:rsidR="007F354B">
        <w:t xml:space="preserve"> take into account privacy, safety, cleanliness, adequate lighting, ventilation, warmth</w:t>
      </w:r>
      <w:r w:rsidR="00D673B1">
        <w:t>,</w:t>
      </w:r>
      <w:r w:rsidR="007F354B">
        <w:t xml:space="preserve"> and quietness. Ideally the room should be only used for therapy sessions</w:t>
      </w:r>
      <w:r w:rsidR="00DF5739">
        <w:t xml:space="preserve">, and not </w:t>
      </w:r>
      <w:r w:rsidR="00B27772">
        <w:t xml:space="preserve">be </w:t>
      </w:r>
      <w:r w:rsidR="007F354B">
        <w:t>access</w:t>
      </w:r>
      <w:r w:rsidR="00DF5739">
        <w:t>ible</w:t>
      </w:r>
      <w:r w:rsidR="007F354B">
        <w:t xml:space="preserve"> </w:t>
      </w:r>
      <w:r w:rsidR="00443AFF">
        <w:t>to</w:t>
      </w:r>
      <w:r w:rsidR="007F354B">
        <w:t xml:space="preserve"> other pe</w:t>
      </w:r>
      <w:r w:rsidR="00DF5739">
        <w:t>ople</w:t>
      </w:r>
      <w:r w:rsidR="007F354B">
        <w:t xml:space="preserve"> when in use. Any stairways</w:t>
      </w:r>
      <w:r w:rsidR="00B27772">
        <w:t xml:space="preserve"> or communal areas leading</w:t>
      </w:r>
      <w:r w:rsidR="007F354B">
        <w:t xml:space="preserve"> </w:t>
      </w:r>
      <w:r w:rsidR="00DF5739">
        <w:t xml:space="preserve">to the room </w:t>
      </w:r>
      <w:r w:rsidR="007F354B">
        <w:t xml:space="preserve">should be kept clean, clear and well lit. Local and national by-laws and fire regulations must be adhered to at all times. </w:t>
      </w:r>
    </w:p>
    <w:p w14:paraId="0A7BE5B0" w14:textId="7B6FC80D" w:rsidR="00284782" w:rsidRDefault="00BF0A39">
      <w:pPr>
        <w:ind w:left="739" w:right="60"/>
      </w:pPr>
      <w:r>
        <w:t>3</w:t>
      </w:r>
      <w:r w:rsidR="007F354B">
        <w:t xml:space="preserve">.3 </w:t>
      </w:r>
      <w:r w:rsidR="00443AFF">
        <w:tab/>
      </w:r>
      <w:r w:rsidR="002F3A06">
        <w:t>A toilet with h</w:t>
      </w:r>
      <w:r w:rsidR="007F354B">
        <w:t>and washing facilities</w:t>
      </w:r>
      <w:r w:rsidR="00443AFF">
        <w:t xml:space="preserve">, including </w:t>
      </w:r>
      <w:r w:rsidR="007F354B">
        <w:t>a hot and cold</w:t>
      </w:r>
      <w:r w:rsidR="00C21CA0">
        <w:t>-</w:t>
      </w:r>
      <w:r w:rsidR="007F354B">
        <w:t>water supply</w:t>
      </w:r>
      <w:r w:rsidR="00443AFF">
        <w:t>,</w:t>
      </w:r>
      <w:r w:rsidR="007F354B">
        <w:t xml:space="preserve"> should be easily accessible for both practitioner and client.</w:t>
      </w:r>
      <w:r w:rsidR="002F3A06">
        <w:t xml:space="preserve"> </w:t>
      </w:r>
      <w:r w:rsidR="007F354B">
        <w:t>The</w:t>
      </w:r>
      <w:r w:rsidR="002F3A06">
        <w:t>se</w:t>
      </w:r>
      <w:r w:rsidR="007F354B">
        <w:t xml:space="preserve"> </w:t>
      </w:r>
      <w:r w:rsidR="002F3A06">
        <w:t>should</w:t>
      </w:r>
      <w:r w:rsidR="007F354B">
        <w:t xml:space="preserve"> be clean and tidy, with toilet paper, soap</w:t>
      </w:r>
      <w:r w:rsidR="00D673B1">
        <w:t>,</w:t>
      </w:r>
      <w:r w:rsidR="007F354B">
        <w:t xml:space="preserve"> and hand towels available for client us</w:t>
      </w:r>
      <w:r w:rsidR="002F3A06">
        <w:t>e</w:t>
      </w:r>
      <w:r w:rsidR="007F354B">
        <w:t xml:space="preserve">. </w:t>
      </w:r>
    </w:p>
    <w:p w14:paraId="4E275340" w14:textId="1234FC6C" w:rsidR="00284782" w:rsidRDefault="00BF0A39">
      <w:pPr>
        <w:ind w:left="739" w:right="60"/>
      </w:pPr>
      <w:r>
        <w:t>3</w:t>
      </w:r>
      <w:r w:rsidR="007F354B">
        <w:t xml:space="preserve">.4 </w:t>
      </w:r>
      <w:r w:rsidR="00443AFF">
        <w:tab/>
      </w:r>
      <w:r w:rsidR="007F354B">
        <w:t xml:space="preserve">All electrical equipment </w:t>
      </w:r>
      <w:r w:rsidR="00443AFF">
        <w:t xml:space="preserve">should </w:t>
      </w:r>
      <w:r w:rsidR="007F354B">
        <w:t xml:space="preserve">be kept in good repair and serviced regularly. All massage couches </w:t>
      </w:r>
      <w:r w:rsidR="00443AFF">
        <w:t>should</w:t>
      </w:r>
      <w:r w:rsidR="007F354B">
        <w:t xml:space="preserve"> be clean and in good working order. Blankets, pillows and cushions should be cleaned regularly and in good condition. Paper roll and tissues </w:t>
      </w:r>
      <w:r w:rsidR="00A4553E">
        <w:t xml:space="preserve">should be </w:t>
      </w:r>
      <w:r w:rsidR="007F354B">
        <w:t xml:space="preserve">disposed of appropriately. </w:t>
      </w:r>
    </w:p>
    <w:p w14:paraId="55B18E92" w14:textId="77777777" w:rsidR="00284782" w:rsidRDefault="007F354B">
      <w:pPr>
        <w:pStyle w:val="Heading1"/>
        <w:ind w:left="717" w:right="0" w:hanging="720"/>
      </w:pPr>
      <w:r>
        <w:t>Professional Relationships with Colleagues, the General Public and Other Professionals</w:t>
      </w:r>
    </w:p>
    <w:p w14:paraId="17B76C74" w14:textId="4EEB1F62" w:rsidR="00284782" w:rsidRDefault="00BF0A39">
      <w:pPr>
        <w:ind w:left="739" w:right="60"/>
      </w:pPr>
      <w:r>
        <w:t>4</w:t>
      </w:r>
      <w:r w:rsidR="007F354B">
        <w:t xml:space="preserve">.1 </w:t>
      </w:r>
      <w:r w:rsidR="005C1544">
        <w:tab/>
      </w:r>
      <w:r w:rsidR="007F354B">
        <w:t xml:space="preserve">A practitioner should direct any criticisms and complaints about fellow colleagues to the </w:t>
      </w:r>
      <w:r w:rsidR="00D673B1">
        <w:t>A</w:t>
      </w:r>
      <w:r w:rsidR="007F354B">
        <w:t>ssociation's committee</w:t>
      </w:r>
      <w:r w:rsidR="005C1544">
        <w:t>.</w:t>
      </w:r>
    </w:p>
    <w:p w14:paraId="72C869D1" w14:textId="38110CB1" w:rsidR="00284782" w:rsidRDefault="00BF0A39">
      <w:pPr>
        <w:ind w:left="739" w:right="60"/>
      </w:pPr>
      <w:r>
        <w:t>4</w:t>
      </w:r>
      <w:r w:rsidR="007F354B">
        <w:t xml:space="preserve">.2 </w:t>
      </w:r>
      <w:r w:rsidR="005C1544">
        <w:tab/>
        <w:t>P</w:t>
      </w:r>
      <w:r w:rsidR="007F354B">
        <w:t>ractitioner</w:t>
      </w:r>
      <w:r w:rsidR="005C1544">
        <w:t>s</w:t>
      </w:r>
      <w:r w:rsidR="007F354B">
        <w:t xml:space="preserve"> must not knowingly enter into a therapeutic relationship with a client whose doctor has stated that </w:t>
      </w:r>
      <w:r w:rsidR="00817807">
        <w:t>biodynamic massage</w:t>
      </w:r>
      <w:r w:rsidR="007F354B">
        <w:t xml:space="preserve"> would be contraindicated. If the client reveals that</w:t>
      </w:r>
      <w:r w:rsidR="00817807">
        <w:t xml:space="preserve"> they are</w:t>
      </w:r>
      <w:r w:rsidR="007F354B">
        <w:t xml:space="preserve"> currently receiving medical treatment</w:t>
      </w:r>
      <w:r w:rsidR="00817807">
        <w:t xml:space="preserve">, </w:t>
      </w:r>
      <w:r w:rsidR="007F354B">
        <w:t xml:space="preserve">the practitioner must review the appropriateness of </w:t>
      </w:r>
      <w:r w:rsidR="00817807">
        <w:t>biodynamic massage and discuss this with their supervisor</w:t>
      </w:r>
      <w:r w:rsidR="007F354B">
        <w:t xml:space="preserve">. If at all unsure, </w:t>
      </w:r>
      <w:r w:rsidR="005C1544">
        <w:t>practitioners should encourage</w:t>
      </w:r>
      <w:r w:rsidR="007F354B">
        <w:t xml:space="preserve"> the client to seek advice from their doctor. </w:t>
      </w:r>
      <w:r w:rsidR="00BB2E6E">
        <w:t>I</w:t>
      </w:r>
      <w:r w:rsidR="007F354B">
        <w:t xml:space="preserve">f a client is seeing a psychotherapist, the </w:t>
      </w:r>
      <w:r w:rsidR="00BB2E6E">
        <w:t xml:space="preserve">biodynamic </w:t>
      </w:r>
      <w:r w:rsidR="007F354B">
        <w:t xml:space="preserve">massage </w:t>
      </w:r>
      <w:r w:rsidR="00302CE3">
        <w:t xml:space="preserve">practitioner </w:t>
      </w:r>
      <w:r w:rsidR="007F354B">
        <w:t xml:space="preserve">should </w:t>
      </w:r>
      <w:r w:rsidR="00BB2E6E">
        <w:t xml:space="preserve">talk </w:t>
      </w:r>
      <w:r w:rsidR="007F354B">
        <w:t xml:space="preserve">to the client </w:t>
      </w:r>
      <w:r w:rsidR="00BB2E6E">
        <w:t xml:space="preserve">about </w:t>
      </w:r>
      <w:r w:rsidR="007F354B">
        <w:t xml:space="preserve">the importance of </w:t>
      </w:r>
      <w:r w:rsidR="005C1544">
        <w:t xml:space="preserve">getting </w:t>
      </w:r>
      <w:r w:rsidR="007F354B">
        <w:t>the psychotherapist's agreement to the</w:t>
      </w:r>
      <w:r w:rsidR="00BB2E6E">
        <w:t>m</w:t>
      </w:r>
      <w:r w:rsidR="007F354B">
        <w:t xml:space="preserve"> receiving </w:t>
      </w:r>
      <w:r w:rsidR="005C1544">
        <w:t xml:space="preserve">biodynamic </w:t>
      </w:r>
      <w:r w:rsidR="007F354B">
        <w:t xml:space="preserve">massage. </w:t>
      </w:r>
    </w:p>
    <w:p w14:paraId="0D90624D" w14:textId="2CFCC2E0" w:rsidR="00284782" w:rsidRDefault="00BF0A39">
      <w:pPr>
        <w:ind w:left="739" w:right="60"/>
      </w:pPr>
      <w:r>
        <w:t>4</w:t>
      </w:r>
      <w:r w:rsidR="007F354B">
        <w:t xml:space="preserve">.3 </w:t>
      </w:r>
      <w:r w:rsidR="005C1544">
        <w:tab/>
      </w:r>
      <w:r w:rsidR="007F354B">
        <w:t>If a practitioner suspects that a client is suffering from a medical condition</w:t>
      </w:r>
      <w:r w:rsidR="00BE0B8E">
        <w:t>,</w:t>
      </w:r>
      <w:r w:rsidR="007F354B">
        <w:t xml:space="preserve"> they should never give a medical diagnosis</w:t>
      </w:r>
      <w:r w:rsidR="00302CE3">
        <w:t>. The practitioner should</w:t>
      </w:r>
      <w:r w:rsidR="007F354B">
        <w:t xml:space="preserve"> </w:t>
      </w:r>
      <w:r w:rsidR="00BE0B8E">
        <w:t>discuss</w:t>
      </w:r>
      <w:r w:rsidR="00302CE3">
        <w:t xml:space="preserve"> this</w:t>
      </w:r>
      <w:r w:rsidR="00BE0B8E">
        <w:t xml:space="preserve"> with their supervisor and</w:t>
      </w:r>
      <w:r w:rsidR="00CE4810">
        <w:t>,</w:t>
      </w:r>
      <w:r w:rsidR="00BE0B8E">
        <w:t xml:space="preserve"> </w:t>
      </w:r>
      <w:r w:rsidR="00FC20B6">
        <w:t xml:space="preserve">where </w:t>
      </w:r>
      <w:r w:rsidR="005C1544">
        <w:t>appropriate</w:t>
      </w:r>
      <w:r w:rsidR="00CE4810">
        <w:t>,</w:t>
      </w:r>
      <w:r w:rsidR="005C1544">
        <w:t xml:space="preserve"> </w:t>
      </w:r>
      <w:r w:rsidR="007F354B">
        <w:t xml:space="preserve">advise the client to see </w:t>
      </w:r>
      <w:r w:rsidR="00BE0B8E">
        <w:t>their</w:t>
      </w:r>
      <w:r w:rsidR="007F354B">
        <w:t xml:space="preserve"> doctor</w:t>
      </w:r>
      <w:r w:rsidR="00302CE3">
        <w:t xml:space="preserve">, </w:t>
      </w:r>
      <w:r w:rsidR="007F354B">
        <w:t>record</w:t>
      </w:r>
      <w:r w:rsidR="00302CE3">
        <w:t>ing</w:t>
      </w:r>
      <w:r w:rsidR="007F354B">
        <w:t xml:space="preserve"> this action</w:t>
      </w:r>
      <w:r w:rsidR="00BE0B8E">
        <w:t xml:space="preserve"> in their </w:t>
      </w:r>
      <w:r w:rsidR="005C1544">
        <w:t>notes</w:t>
      </w:r>
      <w:r w:rsidR="007F354B">
        <w:t xml:space="preserve">. </w:t>
      </w:r>
    </w:p>
    <w:p w14:paraId="7717E2AF" w14:textId="043F228A" w:rsidR="00284782" w:rsidRDefault="00BF0A39">
      <w:pPr>
        <w:ind w:left="739" w:right="60"/>
      </w:pPr>
      <w:r>
        <w:t>4</w:t>
      </w:r>
      <w:r w:rsidR="007F354B">
        <w:t xml:space="preserve">.4 </w:t>
      </w:r>
      <w:r w:rsidR="005C1544">
        <w:tab/>
      </w:r>
      <w:r w:rsidR="007F354B">
        <w:t xml:space="preserve">The practitioner must take care in advertising </w:t>
      </w:r>
      <w:r w:rsidR="00097E4F">
        <w:t>their</w:t>
      </w:r>
      <w:r w:rsidR="007F354B">
        <w:t xml:space="preserve"> services </w:t>
      </w:r>
      <w:r w:rsidR="00097E4F">
        <w:t>and make</w:t>
      </w:r>
      <w:r w:rsidR="007F354B">
        <w:t xml:space="preserve"> no claims to cure diseases or problems. It should draw attention in a dignified way to the therapy available, the qualifications of the practitioner</w:t>
      </w:r>
      <w:r w:rsidR="00097E4F">
        <w:t>,</w:t>
      </w:r>
      <w:r w:rsidR="007F354B">
        <w:t xml:space="preserve"> and </w:t>
      </w:r>
      <w:r w:rsidR="005C1544">
        <w:t xml:space="preserve">the </w:t>
      </w:r>
      <w:r w:rsidR="007F354B">
        <w:t xml:space="preserve">general intention of the work. </w:t>
      </w:r>
    </w:p>
    <w:p w14:paraId="6A60550C" w14:textId="38481903" w:rsidR="00284782" w:rsidRDefault="00BF0A39">
      <w:pPr>
        <w:spacing w:after="821"/>
        <w:ind w:left="739" w:right="60"/>
      </w:pPr>
      <w:r>
        <w:t>4</w:t>
      </w:r>
      <w:r w:rsidR="007F354B">
        <w:t xml:space="preserve">.5 </w:t>
      </w:r>
      <w:r w:rsidR="005C1544">
        <w:tab/>
        <w:t>Practitioners</w:t>
      </w:r>
      <w:r w:rsidR="007F354B">
        <w:t xml:space="preserve"> must ensure that </w:t>
      </w:r>
      <w:r w:rsidR="00253FF4">
        <w:t>their</w:t>
      </w:r>
      <w:r w:rsidR="007F354B">
        <w:t xml:space="preserve"> professional practice is fully covered by substantial professional indemnity insurance. This is available through the ABMT or can be obtained individually from another source. </w:t>
      </w:r>
    </w:p>
    <w:p w14:paraId="0CABA8C5" w14:textId="77777777" w:rsidR="00284782" w:rsidRDefault="007F354B">
      <w:pPr>
        <w:spacing w:after="121" w:line="259" w:lineRule="auto"/>
        <w:ind w:left="7" w:hanging="10"/>
        <w:jc w:val="left"/>
      </w:pPr>
      <w:r>
        <w:rPr>
          <w:sz w:val="20"/>
        </w:rPr>
        <w:t xml:space="preserve">V1 April 1995 </w:t>
      </w:r>
    </w:p>
    <w:p w14:paraId="649243E2" w14:textId="4E3B33BF" w:rsidR="001704F8" w:rsidRPr="00C500B9" w:rsidRDefault="007F354B" w:rsidP="00C500B9">
      <w:pPr>
        <w:spacing w:after="121" w:line="259" w:lineRule="auto"/>
        <w:ind w:left="7" w:hanging="10"/>
        <w:jc w:val="left"/>
        <w:rPr>
          <w:sz w:val="20"/>
        </w:rPr>
      </w:pPr>
      <w:r>
        <w:rPr>
          <w:sz w:val="20"/>
        </w:rPr>
        <w:t xml:space="preserve">Last Reviewed </w:t>
      </w:r>
      <w:r w:rsidR="001704F8">
        <w:rPr>
          <w:sz w:val="20"/>
        </w:rPr>
        <w:t>June 2020</w:t>
      </w:r>
    </w:p>
    <w:sectPr w:rsidR="001704F8" w:rsidRPr="00C500B9">
      <w:headerReference w:type="even" r:id="rId9"/>
      <w:headerReference w:type="default" r:id="rId10"/>
      <w:headerReference w:type="first" r:id="rId11"/>
      <w:pgSz w:w="11906" w:h="16838"/>
      <w:pgMar w:top="3369" w:right="911" w:bottom="1302" w:left="95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C00AF" w14:textId="77777777" w:rsidR="007D39CC" w:rsidRDefault="007D39CC">
      <w:pPr>
        <w:spacing w:after="0" w:line="240" w:lineRule="auto"/>
      </w:pPr>
      <w:r>
        <w:separator/>
      </w:r>
    </w:p>
  </w:endnote>
  <w:endnote w:type="continuationSeparator" w:id="0">
    <w:p w14:paraId="3CBA2909" w14:textId="77777777" w:rsidR="007D39CC" w:rsidRDefault="007D3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A999C" w14:textId="77777777" w:rsidR="007D39CC" w:rsidRDefault="007D39CC">
      <w:pPr>
        <w:spacing w:after="0" w:line="240" w:lineRule="auto"/>
      </w:pPr>
      <w:r>
        <w:separator/>
      </w:r>
    </w:p>
  </w:footnote>
  <w:footnote w:type="continuationSeparator" w:id="0">
    <w:p w14:paraId="5F1A8F63" w14:textId="77777777" w:rsidR="007D39CC" w:rsidRDefault="007D3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9CA74" w14:textId="77777777" w:rsidR="00284782" w:rsidRDefault="007F354B">
    <w:pPr>
      <w:spacing w:after="0" w:line="259" w:lineRule="auto"/>
      <w:ind w:left="-954" w:right="88" w:firstLine="0"/>
      <w:jc w:val="left"/>
    </w:pPr>
    <w:r>
      <w:rPr>
        <w:noProof/>
      </w:rPr>
      <w:drawing>
        <wp:anchor distT="0" distB="0" distL="114300" distR="114300" simplePos="0" relativeHeight="251658240" behindDoc="0" locked="0" layoutInCell="1" allowOverlap="0" wp14:anchorId="5FDE0A4C" wp14:editId="643DDD0C">
          <wp:simplePos x="0" y="0"/>
          <wp:positionH relativeFrom="page">
            <wp:posOffset>613156</wp:posOffset>
          </wp:positionH>
          <wp:positionV relativeFrom="page">
            <wp:posOffset>458469</wp:posOffset>
          </wp:positionV>
          <wp:extent cx="6312408" cy="1475232"/>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12408" cy="1475232"/>
                  </a:xfrm>
                  <a:prstGeom prst="rect">
                    <a:avLst/>
                  </a:prstGeom>
                </pic:spPr>
              </pic:pic>
            </a:graphicData>
          </a:graphic>
        </wp:anchor>
      </w:drawing>
    </w:r>
  </w:p>
  <w:p w14:paraId="1C588E9F" w14:textId="77777777" w:rsidR="00284782" w:rsidRDefault="007F354B">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34561497" wp14:editId="6560A8AA">
              <wp:simplePos x="0" y="0"/>
              <wp:positionH relativeFrom="page">
                <wp:posOffset>0</wp:posOffset>
              </wp:positionH>
              <wp:positionV relativeFrom="page">
                <wp:posOffset>0</wp:posOffset>
              </wp:positionV>
              <wp:extent cx="1" cy="1"/>
              <wp:effectExtent l="0" t="0" r="0" b="0"/>
              <wp:wrapNone/>
              <wp:docPr id="2657" name="Group 265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657"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D1A5C" w14:textId="77777777" w:rsidR="00284782" w:rsidRDefault="007F354B">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8336A5C" wp14:editId="778414C6">
              <wp:simplePos x="0" y="0"/>
              <wp:positionH relativeFrom="page">
                <wp:posOffset>613156</wp:posOffset>
              </wp:positionH>
              <wp:positionV relativeFrom="page">
                <wp:posOffset>458469</wp:posOffset>
              </wp:positionV>
              <wp:extent cx="6312408" cy="1475232"/>
              <wp:effectExtent l="0" t="0" r="0" b="0"/>
              <wp:wrapNone/>
              <wp:docPr id="2649" name="Group 2649"/>
              <wp:cNvGraphicFramePr/>
              <a:graphic xmlns:a="http://schemas.openxmlformats.org/drawingml/2006/main">
                <a:graphicData uri="http://schemas.microsoft.com/office/word/2010/wordprocessingGroup">
                  <wpg:wgp>
                    <wpg:cNvGrpSpPr/>
                    <wpg:grpSpPr>
                      <a:xfrm>
                        <a:off x="0" y="0"/>
                        <a:ext cx="6312408" cy="1475232"/>
                        <a:chOff x="0" y="0"/>
                        <a:chExt cx="6312408" cy="1475232"/>
                      </a:xfrm>
                    </wpg:grpSpPr>
                    <pic:pic xmlns:pic="http://schemas.openxmlformats.org/drawingml/2006/picture">
                      <pic:nvPicPr>
                        <pic:cNvPr id="2650" name="Picture 2650"/>
                        <pic:cNvPicPr/>
                      </pic:nvPicPr>
                      <pic:blipFill>
                        <a:blip r:embed="rId1"/>
                        <a:stretch>
                          <a:fillRect/>
                        </a:stretch>
                      </pic:blipFill>
                      <pic:spPr>
                        <a:xfrm>
                          <a:off x="0" y="0"/>
                          <a:ext cx="6312408" cy="1475232"/>
                        </a:xfrm>
                        <a:prstGeom prst="rect">
                          <a:avLst/>
                        </a:prstGeom>
                      </pic:spPr>
                    </pic:pic>
                  </wpg:wgp>
                </a:graphicData>
              </a:graphic>
            </wp:anchor>
          </w:drawing>
        </mc:Choice>
        <mc:Fallback xmlns:a="http://schemas.openxmlformats.org/drawingml/2006/main">
          <w:pict>
            <v:group id="Group 2649" style="width:497.04pt;height:116.16pt;position:absolute;z-index:-2147483648;mso-position-horizontal-relative:page;mso-position-horizontal:absolute;margin-left:48.28pt;mso-position-vertical-relative:page;margin-top:36.0999pt;" coordsize="63124,14752">
              <v:shape id="Picture 2650" style="position:absolute;width:63124;height:14752;left:0;top:0;" filled="f">
                <v:imagedata r:id="rId4"/>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0CF0B" w14:textId="77777777" w:rsidR="00284782" w:rsidRDefault="007F354B">
    <w:pPr>
      <w:spacing w:after="0" w:line="259" w:lineRule="auto"/>
      <w:ind w:left="-954" w:right="88" w:firstLine="0"/>
      <w:jc w:val="left"/>
    </w:pPr>
    <w:r>
      <w:rPr>
        <w:noProof/>
      </w:rPr>
      <w:drawing>
        <wp:anchor distT="0" distB="0" distL="114300" distR="114300" simplePos="0" relativeHeight="251661312" behindDoc="0" locked="0" layoutInCell="1" allowOverlap="0" wp14:anchorId="211DE977" wp14:editId="139245B0">
          <wp:simplePos x="0" y="0"/>
          <wp:positionH relativeFrom="page">
            <wp:posOffset>613156</wp:posOffset>
          </wp:positionH>
          <wp:positionV relativeFrom="page">
            <wp:posOffset>458469</wp:posOffset>
          </wp:positionV>
          <wp:extent cx="6312408" cy="147523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12408" cy="1475232"/>
                  </a:xfrm>
                  <a:prstGeom prst="rect">
                    <a:avLst/>
                  </a:prstGeom>
                </pic:spPr>
              </pic:pic>
            </a:graphicData>
          </a:graphic>
        </wp:anchor>
      </w:drawing>
    </w:r>
  </w:p>
  <w:p w14:paraId="5123D680" w14:textId="77777777" w:rsidR="00284782" w:rsidRDefault="007F354B">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6D88210A" wp14:editId="1A686E00">
              <wp:simplePos x="0" y="0"/>
              <wp:positionH relativeFrom="page">
                <wp:posOffset>0</wp:posOffset>
              </wp:positionH>
              <wp:positionV relativeFrom="page">
                <wp:posOffset>0</wp:posOffset>
              </wp:positionV>
              <wp:extent cx="1" cy="1"/>
              <wp:effectExtent l="0" t="0" r="0" b="0"/>
              <wp:wrapNone/>
              <wp:docPr id="2647" name="Group 264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647"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A975D6"/>
    <w:multiLevelType w:val="multilevel"/>
    <w:tmpl w:val="A2C4AAE4"/>
    <w:lvl w:ilvl="0">
      <w:start w:val="1"/>
      <w:numFmt w:val="decimal"/>
      <w:lvlText w:val="%1"/>
      <w:lvlJc w:val="left"/>
      <w:pPr>
        <w:ind w:left="720" w:hanging="720"/>
      </w:pPr>
      <w:rPr>
        <w:rFonts w:hint="default"/>
      </w:rPr>
    </w:lvl>
    <w:lvl w:ilvl="1">
      <w:start w:val="1"/>
      <w:numFmt w:val="decimal"/>
      <w:lvlText w:val="%1.%2"/>
      <w:lvlJc w:val="left"/>
      <w:pPr>
        <w:ind w:left="729" w:hanging="720"/>
      </w:pPr>
      <w:rPr>
        <w:rFonts w:hint="default"/>
      </w:rPr>
    </w:lvl>
    <w:lvl w:ilvl="2">
      <w:start w:val="1"/>
      <w:numFmt w:val="decimal"/>
      <w:lvlText w:val="%1.%2.%3"/>
      <w:lvlJc w:val="left"/>
      <w:pPr>
        <w:ind w:left="738" w:hanging="720"/>
      </w:pPr>
      <w:rPr>
        <w:rFonts w:hint="default"/>
      </w:rPr>
    </w:lvl>
    <w:lvl w:ilvl="3">
      <w:start w:val="1"/>
      <w:numFmt w:val="decimal"/>
      <w:lvlText w:val="%1.%2.%3.%4"/>
      <w:lvlJc w:val="left"/>
      <w:pPr>
        <w:ind w:left="1107" w:hanging="108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485" w:hanging="144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863" w:hanging="1800"/>
      </w:pPr>
      <w:rPr>
        <w:rFonts w:hint="default"/>
      </w:rPr>
    </w:lvl>
    <w:lvl w:ilvl="8">
      <w:start w:val="1"/>
      <w:numFmt w:val="decimal"/>
      <w:lvlText w:val="%1.%2.%3.%4.%5.%6.%7.%8.%9"/>
      <w:lvlJc w:val="left"/>
      <w:pPr>
        <w:ind w:left="1872" w:hanging="1800"/>
      </w:pPr>
      <w:rPr>
        <w:rFonts w:hint="default"/>
      </w:rPr>
    </w:lvl>
  </w:abstractNum>
  <w:abstractNum w:abstractNumId="1" w15:restartNumberingAfterBreak="0">
    <w:nsid w:val="543A7B61"/>
    <w:multiLevelType w:val="multilevel"/>
    <w:tmpl w:val="F9E44E1A"/>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FEF2BE9"/>
    <w:multiLevelType w:val="hybridMultilevel"/>
    <w:tmpl w:val="AA561EDE"/>
    <w:lvl w:ilvl="0" w:tplc="84A64FA8">
      <w:start w:val="1"/>
      <w:numFmt w:val="decimal"/>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040364">
      <w:start w:val="1"/>
      <w:numFmt w:val="lowerLetter"/>
      <w:lvlText w:val="%2"/>
      <w:lvlJc w:val="left"/>
      <w:pPr>
        <w:ind w:left="1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F6EB00">
      <w:start w:val="1"/>
      <w:numFmt w:val="lowerRoman"/>
      <w:lvlText w:val="%3"/>
      <w:lvlJc w:val="left"/>
      <w:pPr>
        <w:ind w:left="1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8AFF5A">
      <w:start w:val="1"/>
      <w:numFmt w:val="decimal"/>
      <w:lvlText w:val="%4"/>
      <w:lvlJc w:val="left"/>
      <w:pPr>
        <w:ind w:left="2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1E2A7E">
      <w:start w:val="1"/>
      <w:numFmt w:val="lowerLetter"/>
      <w:lvlText w:val="%5"/>
      <w:lvlJc w:val="left"/>
      <w:pPr>
        <w:ind w:left="3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985712">
      <w:start w:val="1"/>
      <w:numFmt w:val="lowerRoman"/>
      <w:lvlText w:val="%6"/>
      <w:lvlJc w:val="left"/>
      <w:pPr>
        <w:ind w:left="3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B4B960">
      <w:start w:val="1"/>
      <w:numFmt w:val="decimal"/>
      <w:lvlText w:val="%7"/>
      <w:lvlJc w:val="left"/>
      <w:pPr>
        <w:ind w:left="4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6CF36C">
      <w:start w:val="1"/>
      <w:numFmt w:val="lowerLetter"/>
      <w:lvlText w:val="%8"/>
      <w:lvlJc w:val="left"/>
      <w:pPr>
        <w:ind w:left="5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1F6FF6E">
      <w:start w:val="1"/>
      <w:numFmt w:val="lowerRoman"/>
      <w:lvlText w:val="%9"/>
      <w:lvlJc w:val="left"/>
      <w:pPr>
        <w:ind w:left="6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4C27F17"/>
    <w:multiLevelType w:val="hybridMultilevel"/>
    <w:tmpl w:val="F84C4700"/>
    <w:lvl w:ilvl="0" w:tplc="240E8C06">
      <w:start w:val="1"/>
      <w:numFmt w:val="bullet"/>
      <w:lvlText w:val="•"/>
      <w:lvlJc w:val="left"/>
      <w:pPr>
        <w:ind w:left="1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D0CD80">
      <w:start w:val="1"/>
      <w:numFmt w:val="bullet"/>
      <w:lvlText w:val="o"/>
      <w:lvlJc w:val="left"/>
      <w:pPr>
        <w:ind w:left="1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7A3C4C">
      <w:start w:val="1"/>
      <w:numFmt w:val="bullet"/>
      <w:lvlText w:val="▪"/>
      <w:lvlJc w:val="left"/>
      <w:pPr>
        <w:ind w:left="2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D47AEC">
      <w:start w:val="1"/>
      <w:numFmt w:val="bullet"/>
      <w:lvlText w:val="•"/>
      <w:lvlJc w:val="left"/>
      <w:pPr>
        <w:ind w:left="3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D80C82">
      <w:start w:val="1"/>
      <w:numFmt w:val="bullet"/>
      <w:lvlText w:val="o"/>
      <w:lvlJc w:val="left"/>
      <w:pPr>
        <w:ind w:left="3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AA5C2A">
      <w:start w:val="1"/>
      <w:numFmt w:val="bullet"/>
      <w:lvlText w:val="▪"/>
      <w:lvlJc w:val="left"/>
      <w:pPr>
        <w:ind w:left="4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E20DD88">
      <w:start w:val="1"/>
      <w:numFmt w:val="bullet"/>
      <w:lvlText w:val="•"/>
      <w:lvlJc w:val="left"/>
      <w:pPr>
        <w:ind w:left="5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1443B4">
      <w:start w:val="1"/>
      <w:numFmt w:val="bullet"/>
      <w:lvlText w:val="o"/>
      <w:lvlJc w:val="left"/>
      <w:pPr>
        <w:ind w:left="6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9A697E">
      <w:start w:val="1"/>
      <w:numFmt w:val="bullet"/>
      <w:lvlText w:val="▪"/>
      <w:lvlJc w:val="left"/>
      <w:pPr>
        <w:ind w:left="6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782"/>
    <w:rsid w:val="0001112F"/>
    <w:rsid w:val="0002147B"/>
    <w:rsid w:val="00051D4F"/>
    <w:rsid w:val="000643C3"/>
    <w:rsid w:val="00083461"/>
    <w:rsid w:val="00094AE7"/>
    <w:rsid w:val="00097E4F"/>
    <w:rsid w:val="000D6070"/>
    <w:rsid w:val="000F1B7A"/>
    <w:rsid w:val="0010064E"/>
    <w:rsid w:val="0013022A"/>
    <w:rsid w:val="001704F8"/>
    <w:rsid w:val="0018737A"/>
    <w:rsid w:val="001915EE"/>
    <w:rsid w:val="001D2CC8"/>
    <w:rsid w:val="001D48D6"/>
    <w:rsid w:val="001F0619"/>
    <w:rsid w:val="00231B11"/>
    <w:rsid w:val="002336A3"/>
    <w:rsid w:val="00253FF4"/>
    <w:rsid w:val="002621C7"/>
    <w:rsid w:val="00281EA6"/>
    <w:rsid w:val="00284782"/>
    <w:rsid w:val="002853AC"/>
    <w:rsid w:val="002A247B"/>
    <w:rsid w:val="002F3A06"/>
    <w:rsid w:val="00302CE3"/>
    <w:rsid w:val="0032317F"/>
    <w:rsid w:val="00330F74"/>
    <w:rsid w:val="00383D38"/>
    <w:rsid w:val="00443687"/>
    <w:rsid w:val="00443AFF"/>
    <w:rsid w:val="0044564C"/>
    <w:rsid w:val="004A7BC3"/>
    <w:rsid w:val="004E348D"/>
    <w:rsid w:val="00504C51"/>
    <w:rsid w:val="00534003"/>
    <w:rsid w:val="005617D0"/>
    <w:rsid w:val="005903DE"/>
    <w:rsid w:val="005B4FE8"/>
    <w:rsid w:val="005C1544"/>
    <w:rsid w:val="005E531C"/>
    <w:rsid w:val="005E5F14"/>
    <w:rsid w:val="005F6DC4"/>
    <w:rsid w:val="0061187A"/>
    <w:rsid w:val="00617A02"/>
    <w:rsid w:val="0063729A"/>
    <w:rsid w:val="00683AD4"/>
    <w:rsid w:val="00683F1D"/>
    <w:rsid w:val="006B2949"/>
    <w:rsid w:val="006D0C28"/>
    <w:rsid w:val="006F3AB2"/>
    <w:rsid w:val="0074684F"/>
    <w:rsid w:val="00751AA3"/>
    <w:rsid w:val="00761A39"/>
    <w:rsid w:val="007732D1"/>
    <w:rsid w:val="00773413"/>
    <w:rsid w:val="00793416"/>
    <w:rsid w:val="007A2942"/>
    <w:rsid w:val="007A2E6E"/>
    <w:rsid w:val="007A35BA"/>
    <w:rsid w:val="007D39CC"/>
    <w:rsid w:val="007F354B"/>
    <w:rsid w:val="00813791"/>
    <w:rsid w:val="00817807"/>
    <w:rsid w:val="00836696"/>
    <w:rsid w:val="0086371C"/>
    <w:rsid w:val="008720E5"/>
    <w:rsid w:val="008A671D"/>
    <w:rsid w:val="00903EB0"/>
    <w:rsid w:val="00924603"/>
    <w:rsid w:val="00945860"/>
    <w:rsid w:val="00953AFF"/>
    <w:rsid w:val="00960450"/>
    <w:rsid w:val="00970F9B"/>
    <w:rsid w:val="009C0FC4"/>
    <w:rsid w:val="009C194B"/>
    <w:rsid w:val="009C4CB0"/>
    <w:rsid w:val="00A4553E"/>
    <w:rsid w:val="00A66F0F"/>
    <w:rsid w:val="00A75E31"/>
    <w:rsid w:val="00AC60E2"/>
    <w:rsid w:val="00AD31A5"/>
    <w:rsid w:val="00AD606B"/>
    <w:rsid w:val="00AE3C6B"/>
    <w:rsid w:val="00B27772"/>
    <w:rsid w:val="00B33978"/>
    <w:rsid w:val="00B61B9C"/>
    <w:rsid w:val="00B64425"/>
    <w:rsid w:val="00BB2160"/>
    <w:rsid w:val="00BB2E6E"/>
    <w:rsid w:val="00BB54B2"/>
    <w:rsid w:val="00BC1C84"/>
    <w:rsid w:val="00BC40AF"/>
    <w:rsid w:val="00BD18FD"/>
    <w:rsid w:val="00BE0B8E"/>
    <w:rsid w:val="00BF0A39"/>
    <w:rsid w:val="00C21CA0"/>
    <w:rsid w:val="00C24E9B"/>
    <w:rsid w:val="00C3471E"/>
    <w:rsid w:val="00C500B9"/>
    <w:rsid w:val="00C6256C"/>
    <w:rsid w:val="00C7507D"/>
    <w:rsid w:val="00C7511D"/>
    <w:rsid w:val="00C77D26"/>
    <w:rsid w:val="00C84C4A"/>
    <w:rsid w:val="00C90822"/>
    <w:rsid w:val="00CB53BE"/>
    <w:rsid w:val="00CB7B03"/>
    <w:rsid w:val="00CC4BA4"/>
    <w:rsid w:val="00CD02AA"/>
    <w:rsid w:val="00CE4810"/>
    <w:rsid w:val="00D15519"/>
    <w:rsid w:val="00D2717F"/>
    <w:rsid w:val="00D673B1"/>
    <w:rsid w:val="00D77EE6"/>
    <w:rsid w:val="00D81450"/>
    <w:rsid w:val="00DA5C96"/>
    <w:rsid w:val="00DC0DEE"/>
    <w:rsid w:val="00DF1CDE"/>
    <w:rsid w:val="00DF5739"/>
    <w:rsid w:val="00E01478"/>
    <w:rsid w:val="00E33F1C"/>
    <w:rsid w:val="00E36802"/>
    <w:rsid w:val="00E4363F"/>
    <w:rsid w:val="00E87840"/>
    <w:rsid w:val="00EB2608"/>
    <w:rsid w:val="00EE13CC"/>
    <w:rsid w:val="00EE185A"/>
    <w:rsid w:val="00EE31B0"/>
    <w:rsid w:val="00F13DA4"/>
    <w:rsid w:val="00F21671"/>
    <w:rsid w:val="00F35452"/>
    <w:rsid w:val="00F60919"/>
    <w:rsid w:val="00F838D1"/>
    <w:rsid w:val="00FB1DE5"/>
    <w:rsid w:val="00FB53D5"/>
    <w:rsid w:val="00FC20B6"/>
    <w:rsid w:val="00FC2ED7"/>
    <w:rsid w:val="00FF28D1"/>
    <w:rsid w:val="00FF4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F886B"/>
  <w15:docId w15:val="{EA469D14-19E4-0D44-B1EE-00A7303B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5" w:line="255" w:lineRule="auto"/>
      <w:ind w:left="742" w:hanging="730"/>
      <w:jc w:val="both"/>
    </w:pPr>
    <w:rPr>
      <w:rFonts w:ascii="Arial" w:eastAsia="Arial" w:hAnsi="Arial" w:cs="Arial"/>
      <w:color w:val="000000"/>
    </w:rPr>
  </w:style>
  <w:style w:type="paragraph" w:styleId="Heading1">
    <w:name w:val="heading 1"/>
    <w:next w:val="Normal"/>
    <w:link w:val="Heading1Char"/>
    <w:uiPriority w:val="9"/>
    <w:qFormat/>
    <w:pPr>
      <w:keepNext/>
      <w:keepLines/>
      <w:numPr>
        <w:numId w:val="3"/>
      </w:numPr>
      <w:spacing w:after="294" w:line="256" w:lineRule="auto"/>
      <w:ind w:left="10" w:right="69"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BalloonText">
    <w:name w:val="Balloon Text"/>
    <w:basedOn w:val="Normal"/>
    <w:link w:val="BalloonTextChar"/>
    <w:uiPriority w:val="99"/>
    <w:semiHidden/>
    <w:unhideWhenUsed/>
    <w:rsid w:val="00EE31B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31B0"/>
    <w:rPr>
      <w:rFonts w:ascii="Times New Roman" w:eastAsia="Arial" w:hAnsi="Times New Roman" w:cs="Times New Roman"/>
      <w:color w:val="000000"/>
      <w:sz w:val="18"/>
      <w:szCs w:val="18"/>
    </w:rPr>
  </w:style>
  <w:style w:type="character" w:styleId="CommentReference">
    <w:name w:val="annotation reference"/>
    <w:basedOn w:val="DefaultParagraphFont"/>
    <w:uiPriority w:val="99"/>
    <w:semiHidden/>
    <w:unhideWhenUsed/>
    <w:rsid w:val="00BB2160"/>
    <w:rPr>
      <w:sz w:val="16"/>
      <w:szCs w:val="16"/>
    </w:rPr>
  </w:style>
  <w:style w:type="paragraph" w:styleId="CommentText">
    <w:name w:val="annotation text"/>
    <w:basedOn w:val="Normal"/>
    <w:link w:val="CommentTextChar"/>
    <w:uiPriority w:val="99"/>
    <w:semiHidden/>
    <w:unhideWhenUsed/>
    <w:rsid w:val="00BB2160"/>
    <w:pPr>
      <w:spacing w:line="240" w:lineRule="auto"/>
    </w:pPr>
    <w:rPr>
      <w:sz w:val="20"/>
      <w:szCs w:val="20"/>
    </w:rPr>
  </w:style>
  <w:style w:type="character" w:customStyle="1" w:styleId="CommentTextChar">
    <w:name w:val="Comment Text Char"/>
    <w:basedOn w:val="DefaultParagraphFont"/>
    <w:link w:val="CommentText"/>
    <w:uiPriority w:val="99"/>
    <w:semiHidden/>
    <w:rsid w:val="00BB216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B2160"/>
    <w:rPr>
      <w:b/>
      <w:bCs/>
    </w:rPr>
  </w:style>
  <w:style w:type="character" w:customStyle="1" w:styleId="CommentSubjectChar">
    <w:name w:val="Comment Subject Char"/>
    <w:basedOn w:val="CommentTextChar"/>
    <w:link w:val="CommentSubject"/>
    <w:uiPriority w:val="99"/>
    <w:semiHidden/>
    <w:rsid w:val="00BB2160"/>
    <w:rPr>
      <w:rFonts w:ascii="Arial" w:eastAsia="Arial" w:hAnsi="Arial" w:cs="Arial"/>
      <w:b/>
      <w:bCs/>
      <w:color w:val="000000"/>
      <w:sz w:val="20"/>
      <w:szCs w:val="20"/>
    </w:rPr>
  </w:style>
  <w:style w:type="paragraph" w:styleId="ListParagraph">
    <w:name w:val="List Paragraph"/>
    <w:basedOn w:val="Normal"/>
    <w:uiPriority w:val="34"/>
    <w:qFormat/>
    <w:rsid w:val="009C0FC4"/>
    <w:pPr>
      <w:ind w:left="720"/>
      <w:contextualSpacing/>
    </w:pPr>
  </w:style>
  <w:style w:type="character" w:styleId="Hyperlink">
    <w:name w:val="Hyperlink"/>
    <w:basedOn w:val="DefaultParagraphFont"/>
    <w:uiPriority w:val="99"/>
    <w:unhideWhenUsed/>
    <w:rsid w:val="00617A02"/>
    <w:rPr>
      <w:color w:val="0000FF"/>
      <w:u w:val="single"/>
    </w:rPr>
  </w:style>
  <w:style w:type="character" w:styleId="UnresolvedMention">
    <w:name w:val="Unresolved Mention"/>
    <w:basedOn w:val="DefaultParagraphFont"/>
    <w:uiPriority w:val="99"/>
    <w:semiHidden/>
    <w:unhideWhenUsed/>
    <w:rsid w:val="00F216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523143">
      <w:bodyDiv w:val="1"/>
      <w:marLeft w:val="0"/>
      <w:marRight w:val="0"/>
      <w:marTop w:val="0"/>
      <w:marBottom w:val="0"/>
      <w:divBdr>
        <w:top w:val="none" w:sz="0" w:space="0" w:color="auto"/>
        <w:left w:val="none" w:sz="0" w:space="0" w:color="auto"/>
        <w:bottom w:val="none" w:sz="0" w:space="0" w:color="auto"/>
        <w:right w:val="none" w:sz="0" w:space="0" w:color="auto"/>
      </w:divBdr>
      <w:divsChild>
        <w:div w:id="1532378924">
          <w:marLeft w:val="0"/>
          <w:marRight w:val="0"/>
          <w:marTop w:val="0"/>
          <w:marBottom w:val="0"/>
          <w:divBdr>
            <w:top w:val="none" w:sz="0" w:space="0" w:color="auto"/>
            <w:left w:val="none" w:sz="0" w:space="0" w:color="auto"/>
            <w:bottom w:val="none" w:sz="0" w:space="0" w:color="auto"/>
            <w:right w:val="none" w:sz="0" w:space="0" w:color="auto"/>
          </w:divBdr>
        </w:div>
        <w:div w:id="101925487">
          <w:marLeft w:val="0"/>
          <w:marRight w:val="0"/>
          <w:marTop w:val="0"/>
          <w:marBottom w:val="0"/>
          <w:divBdr>
            <w:top w:val="none" w:sz="0" w:space="0" w:color="auto"/>
            <w:left w:val="none" w:sz="0" w:space="0" w:color="auto"/>
            <w:bottom w:val="none" w:sz="0" w:space="0" w:color="auto"/>
            <w:right w:val="none" w:sz="0" w:space="0" w:color="auto"/>
          </w:divBdr>
        </w:div>
        <w:div w:id="892615783">
          <w:marLeft w:val="0"/>
          <w:marRight w:val="0"/>
          <w:marTop w:val="0"/>
          <w:marBottom w:val="0"/>
          <w:divBdr>
            <w:top w:val="none" w:sz="0" w:space="0" w:color="auto"/>
            <w:left w:val="none" w:sz="0" w:space="0" w:color="auto"/>
            <w:bottom w:val="none" w:sz="0" w:space="0" w:color="auto"/>
            <w:right w:val="none" w:sz="0" w:space="0" w:color="auto"/>
          </w:divBdr>
        </w:div>
        <w:div w:id="1724599993">
          <w:marLeft w:val="0"/>
          <w:marRight w:val="0"/>
          <w:marTop w:val="0"/>
          <w:marBottom w:val="0"/>
          <w:divBdr>
            <w:top w:val="none" w:sz="0" w:space="0" w:color="auto"/>
            <w:left w:val="none" w:sz="0" w:space="0" w:color="auto"/>
            <w:bottom w:val="none" w:sz="0" w:space="0" w:color="auto"/>
            <w:right w:val="none" w:sz="0" w:space="0" w:color="auto"/>
          </w:divBdr>
        </w:div>
        <w:div w:id="675038237">
          <w:marLeft w:val="0"/>
          <w:marRight w:val="0"/>
          <w:marTop w:val="0"/>
          <w:marBottom w:val="0"/>
          <w:divBdr>
            <w:top w:val="none" w:sz="0" w:space="0" w:color="auto"/>
            <w:left w:val="none" w:sz="0" w:space="0" w:color="auto"/>
            <w:bottom w:val="none" w:sz="0" w:space="0" w:color="auto"/>
            <w:right w:val="none" w:sz="0" w:space="0" w:color="auto"/>
          </w:divBdr>
        </w:div>
        <w:div w:id="481891831">
          <w:marLeft w:val="0"/>
          <w:marRight w:val="0"/>
          <w:marTop w:val="0"/>
          <w:marBottom w:val="0"/>
          <w:divBdr>
            <w:top w:val="none" w:sz="0" w:space="0" w:color="auto"/>
            <w:left w:val="none" w:sz="0" w:space="0" w:color="auto"/>
            <w:bottom w:val="none" w:sz="0" w:space="0" w:color="auto"/>
            <w:right w:val="none" w:sz="0" w:space="0" w:color="auto"/>
          </w:divBdr>
        </w:div>
        <w:div w:id="1072773212">
          <w:marLeft w:val="0"/>
          <w:marRight w:val="0"/>
          <w:marTop w:val="0"/>
          <w:marBottom w:val="0"/>
          <w:divBdr>
            <w:top w:val="none" w:sz="0" w:space="0" w:color="auto"/>
            <w:left w:val="none" w:sz="0" w:space="0" w:color="auto"/>
            <w:bottom w:val="none" w:sz="0" w:space="0" w:color="auto"/>
            <w:right w:val="none" w:sz="0" w:space="0" w:color="auto"/>
          </w:divBdr>
        </w:div>
        <w:div w:id="807474590">
          <w:marLeft w:val="0"/>
          <w:marRight w:val="0"/>
          <w:marTop w:val="0"/>
          <w:marBottom w:val="0"/>
          <w:divBdr>
            <w:top w:val="none" w:sz="0" w:space="0" w:color="auto"/>
            <w:left w:val="none" w:sz="0" w:space="0" w:color="auto"/>
            <w:bottom w:val="none" w:sz="0" w:space="0" w:color="auto"/>
            <w:right w:val="none" w:sz="0" w:space="0" w:color="auto"/>
          </w:divBdr>
        </w:div>
        <w:div w:id="1464888155">
          <w:marLeft w:val="0"/>
          <w:marRight w:val="0"/>
          <w:marTop w:val="0"/>
          <w:marBottom w:val="0"/>
          <w:divBdr>
            <w:top w:val="none" w:sz="0" w:space="0" w:color="auto"/>
            <w:left w:val="none" w:sz="0" w:space="0" w:color="auto"/>
            <w:bottom w:val="none" w:sz="0" w:space="0" w:color="auto"/>
            <w:right w:val="none" w:sz="0" w:space="0" w:color="auto"/>
          </w:divBdr>
        </w:div>
      </w:divsChild>
    </w:div>
    <w:div w:id="1660576758">
      <w:bodyDiv w:val="1"/>
      <w:marLeft w:val="0"/>
      <w:marRight w:val="0"/>
      <w:marTop w:val="0"/>
      <w:marBottom w:val="0"/>
      <w:divBdr>
        <w:top w:val="none" w:sz="0" w:space="0" w:color="auto"/>
        <w:left w:val="none" w:sz="0" w:space="0" w:color="auto"/>
        <w:bottom w:val="none" w:sz="0" w:space="0" w:color="auto"/>
        <w:right w:val="none" w:sz="0" w:space="0" w:color="auto"/>
      </w:divBdr>
    </w:div>
    <w:div w:id="2034767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ofessionalstandards.org.uk/docs/default-source/publications/policy-advice/clear-sexual-boundaries-information-for-patients-and-carer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nhc.org.uk/sites/default/files/Downloads/CodeofConductEthicsandPerformance_Nov2019.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AMBT Ethics</vt:lpstr>
    </vt:vector>
  </TitlesOfParts>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AMBT Ethics</dc:title>
  <dc:subject/>
  <dc:creator>Hayley Merron</dc:creator>
  <cp:keywords/>
  <cp:lastModifiedBy>Lindsey Nicholas</cp:lastModifiedBy>
  <cp:revision>3</cp:revision>
  <dcterms:created xsi:type="dcterms:W3CDTF">2020-06-08T09:19:00Z</dcterms:created>
  <dcterms:modified xsi:type="dcterms:W3CDTF">2020-06-08T09:19:00Z</dcterms:modified>
</cp:coreProperties>
</file>